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C1" w:rsidRPr="008D7E0B" w:rsidRDefault="00073BA9">
      <w:pPr>
        <w:rPr>
          <w:b/>
          <w:sz w:val="28"/>
          <w:szCs w:val="28"/>
          <w:lang w:val="en-US"/>
        </w:rPr>
      </w:pPr>
      <w:r w:rsidRPr="008D7E0B">
        <w:rPr>
          <w:b/>
          <w:sz w:val="28"/>
          <w:szCs w:val="28"/>
          <w:lang w:val="en-US"/>
        </w:rPr>
        <w:t>Working Paper CLIO-INFRA</w:t>
      </w:r>
      <w:r w:rsidR="00804DEB">
        <w:rPr>
          <w:b/>
          <w:sz w:val="28"/>
          <w:szCs w:val="28"/>
          <w:lang w:val="en-US"/>
        </w:rPr>
        <w:t xml:space="preserve">: </w:t>
      </w:r>
      <w:r w:rsidR="0075418F">
        <w:rPr>
          <w:b/>
          <w:sz w:val="28"/>
          <w:szCs w:val="28"/>
          <w:lang w:val="en-US"/>
        </w:rPr>
        <w:t>Homicide Rates</w:t>
      </w:r>
    </w:p>
    <w:p w:rsidR="00A53FCE" w:rsidRDefault="00A53FCE" w:rsidP="0022249F">
      <w:pPr>
        <w:rPr>
          <w:lang w:val="en-US"/>
        </w:rPr>
      </w:pPr>
    </w:p>
    <w:p w:rsidR="0022249F" w:rsidRPr="00E42E4F" w:rsidRDefault="0022249F" w:rsidP="0022249F">
      <w:pPr>
        <w:rPr>
          <w:lang w:val="en-US"/>
        </w:rPr>
      </w:pPr>
      <w:r w:rsidRPr="00E42E4F">
        <w:rPr>
          <w:lang w:val="en-US"/>
        </w:rPr>
        <w:t>1. Title</w:t>
      </w:r>
    </w:p>
    <w:p w:rsidR="00E42E4F" w:rsidRDefault="00E42E4F" w:rsidP="0022249F">
      <w:pPr>
        <w:rPr>
          <w:lang w:val="en-US"/>
        </w:rPr>
      </w:pPr>
      <w:r>
        <w:rPr>
          <w:lang w:val="en-US"/>
        </w:rPr>
        <w:tab/>
      </w:r>
      <w:r w:rsidR="00AF16EC" w:rsidRPr="0027143C">
        <w:rPr>
          <w:lang w:val="en-US"/>
        </w:rPr>
        <w:t>Homicide Rates</w:t>
      </w:r>
      <w:r w:rsidR="00AA754B" w:rsidRPr="0027143C">
        <w:rPr>
          <w:lang w:val="en-US"/>
        </w:rPr>
        <w:t>, 1</w:t>
      </w:r>
      <w:r w:rsidR="00804DEB" w:rsidRPr="0027143C">
        <w:rPr>
          <w:lang w:val="en-US"/>
        </w:rPr>
        <w:t>8</w:t>
      </w:r>
      <w:r w:rsidR="00AF16EC" w:rsidRPr="0027143C">
        <w:rPr>
          <w:lang w:val="en-US"/>
        </w:rPr>
        <w:t>00</w:t>
      </w:r>
      <w:r w:rsidR="00804DEB" w:rsidRPr="0027143C">
        <w:rPr>
          <w:lang w:val="en-US"/>
        </w:rPr>
        <w:t>-201</w:t>
      </w:r>
      <w:r w:rsidR="00AA754B" w:rsidRPr="0027143C">
        <w:rPr>
          <w:lang w:val="en-US"/>
        </w:rPr>
        <w:t>0</w:t>
      </w:r>
      <w:r w:rsidRPr="0027143C">
        <w:rPr>
          <w:lang w:val="en-US"/>
        </w:rPr>
        <w:t>.</w:t>
      </w:r>
    </w:p>
    <w:p w:rsidR="0022249F" w:rsidRPr="00072B3F" w:rsidRDefault="0022249F" w:rsidP="0022249F">
      <w:pPr>
        <w:rPr>
          <w:lang w:val="en-GB"/>
        </w:rPr>
      </w:pPr>
      <w:r w:rsidRPr="00072B3F">
        <w:rPr>
          <w:lang w:val="en-GB"/>
        </w:rPr>
        <w:t>2. Author</w:t>
      </w:r>
      <w:r w:rsidR="00E42E4F" w:rsidRPr="00072B3F">
        <w:rPr>
          <w:lang w:val="en-GB"/>
        </w:rPr>
        <w:t>(s)</w:t>
      </w:r>
    </w:p>
    <w:p w:rsidR="00DF2464" w:rsidRPr="00804DEB" w:rsidRDefault="00DF2464" w:rsidP="0018359E">
      <w:r w:rsidRPr="00072B3F">
        <w:rPr>
          <w:lang w:val="en-GB"/>
        </w:rPr>
        <w:tab/>
      </w:r>
      <w:r w:rsidRPr="00804DEB">
        <w:t xml:space="preserve">- </w:t>
      </w:r>
      <w:r w:rsidR="008B069A">
        <w:t>Winny Bierman and Jan Luiten van Zanden</w:t>
      </w:r>
    </w:p>
    <w:p w:rsidR="0022249F" w:rsidRPr="00E42E4F" w:rsidRDefault="00DF2464" w:rsidP="0022249F">
      <w:pPr>
        <w:rPr>
          <w:lang w:val="en-US"/>
        </w:rPr>
      </w:pPr>
      <w:r>
        <w:rPr>
          <w:lang w:val="en-US"/>
        </w:rPr>
        <w:t>3</w:t>
      </w:r>
      <w:r w:rsidR="0022249F" w:rsidRPr="00E42E4F">
        <w:rPr>
          <w:lang w:val="en-US"/>
        </w:rPr>
        <w:t>. Production date</w:t>
      </w:r>
    </w:p>
    <w:p w:rsidR="00DF2464" w:rsidRDefault="00DF2464" w:rsidP="0022249F">
      <w:pPr>
        <w:rPr>
          <w:lang w:val="en-US"/>
        </w:rPr>
      </w:pPr>
      <w:r>
        <w:rPr>
          <w:lang w:val="en-US"/>
        </w:rPr>
        <w:tab/>
      </w:r>
      <w:r w:rsidRPr="0027143C">
        <w:rPr>
          <w:lang w:val="en-US"/>
        </w:rPr>
        <w:t xml:space="preserve">- </w:t>
      </w:r>
      <w:r w:rsidR="00F71D52" w:rsidRPr="0027143C">
        <w:rPr>
          <w:lang w:val="en-US"/>
        </w:rPr>
        <w:t>01</w:t>
      </w:r>
      <w:r w:rsidR="00804DEB" w:rsidRPr="0027143C">
        <w:rPr>
          <w:lang w:val="en-US"/>
        </w:rPr>
        <w:t>-</w:t>
      </w:r>
      <w:r w:rsidR="0075418F" w:rsidRPr="0027143C">
        <w:rPr>
          <w:lang w:val="en-US"/>
        </w:rPr>
        <w:t>08</w:t>
      </w:r>
      <w:r w:rsidR="004C280F" w:rsidRPr="0027143C">
        <w:rPr>
          <w:lang w:val="en-US"/>
        </w:rPr>
        <w:t>-201</w:t>
      </w:r>
      <w:r w:rsidR="0075418F" w:rsidRPr="0027143C">
        <w:rPr>
          <w:lang w:val="en-US"/>
        </w:rPr>
        <w:t>4</w:t>
      </w:r>
    </w:p>
    <w:p w:rsidR="0022249F" w:rsidRPr="00E42E4F" w:rsidRDefault="008D7E0B" w:rsidP="0022249F">
      <w:pPr>
        <w:rPr>
          <w:lang w:val="en-US"/>
        </w:rPr>
      </w:pPr>
      <w:r>
        <w:rPr>
          <w:lang w:val="en-US"/>
        </w:rPr>
        <w:t>4</w:t>
      </w:r>
      <w:r w:rsidR="0022249F" w:rsidRPr="00E42E4F">
        <w:rPr>
          <w:lang w:val="en-US"/>
        </w:rPr>
        <w:t>. Version</w:t>
      </w:r>
    </w:p>
    <w:p w:rsidR="008D7E0B" w:rsidRDefault="008D7E0B" w:rsidP="0022249F">
      <w:pPr>
        <w:rPr>
          <w:lang w:val="en-US"/>
        </w:rPr>
      </w:pPr>
      <w:r>
        <w:rPr>
          <w:lang w:val="en-US"/>
        </w:rPr>
        <w:tab/>
        <w:t xml:space="preserve">- </w:t>
      </w:r>
      <w:r w:rsidR="002C765E">
        <w:rPr>
          <w:lang w:val="en-US"/>
        </w:rPr>
        <w:t>1</w:t>
      </w:r>
      <w:r w:rsidR="002C765E" w:rsidRPr="002C765E">
        <w:rPr>
          <w:vertAlign w:val="superscript"/>
          <w:lang w:val="en-US"/>
        </w:rPr>
        <w:t>st</w:t>
      </w:r>
      <w:r w:rsidR="002C765E">
        <w:rPr>
          <w:lang w:val="en-US"/>
        </w:rPr>
        <w:t xml:space="preserve"> version</w:t>
      </w:r>
    </w:p>
    <w:p w:rsidR="0022249F" w:rsidRPr="00E42E4F" w:rsidRDefault="008D7E0B" w:rsidP="0022249F">
      <w:pPr>
        <w:rPr>
          <w:lang w:val="en-US"/>
        </w:rPr>
      </w:pPr>
      <w:r>
        <w:rPr>
          <w:lang w:val="en-US"/>
        </w:rPr>
        <w:t>5</w:t>
      </w:r>
      <w:r w:rsidR="0022249F" w:rsidRPr="00E42E4F">
        <w:rPr>
          <w:lang w:val="en-US"/>
        </w:rPr>
        <w:t>. Variable group</w:t>
      </w:r>
      <w:r>
        <w:rPr>
          <w:lang w:val="en-US"/>
        </w:rPr>
        <w:t>(s)</w:t>
      </w:r>
    </w:p>
    <w:p w:rsidR="008D7E0B" w:rsidRDefault="008D7E0B" w:rsidP="0022249F">
      <w:pPr>
        <w:rPr>
          <w:lang w:val="en-US"/>
        </w:rPr>
      </w:pPr>
      <w:r>
        <w:rPr>
          <w:lang w:val="en-US"/>
        </w:rPr>
        <w:tab/>
      </w:r>
      <w:r w:rsidRPr="0027143C">
        <w:rPr>
          <w:lang w:val="en-US"/>
        </w:rPr>
        <w:t xml:space="preserve">- </w:t>
      </w:r>
      <w:r w:rsidR="008B069A" w:rsidRPr="0027143C">
        <w:rPr>
          <w:lang w:val="en-US"/>
        </w:rPr>
        <w:t>Personal Security</w:t>
      </w:r>
    </w:p>
    <w:p w:rsidR="0022249F" w:rsidRDefault="008D7E0B" w:rsidP="0022249F">
      <w:pPr>
        <w:rPr>
          <w:lang w:val="en-US"/>
        </w:rPr>
      </w:pPr>
      <w:r>
        <w:rPr>
          <w:lang w:val="en-US"/>
        </w:rPr>
        <w:t>6</w:t>
      </w:r>
      <w:r w:rsidR="0022249F" w:rsidRPr="00E42E4F">
        <w:rPr>
          <w:lang w:val="en-US"/>
        </w:rPr>
        <w:t>. Variable</w:t>
      </w:r>
      <w:r>
        <w:rPr>
          <w:lang w:val="en-US"/>
        </w:rPr>
        <w:t>(s)</w:t>
      </w:r>
    </w:p>
    <w:p w:rsidR="008D7E0B" w:rsidRPr="00E42E4F" w:rsidRDefault="008D7E0B" w:rsidP="008B069A">
      <w:pPr>
        <w:rPr>
          <w:lang w:val="en-US"/>
        </w:rPr>
      </w:pPr>
      <w:r>
        <w:rPr>
          <w:lang w:val="en-US"/>
        </w:rPr>
        <w:tab/>
        <w:t>-</w:t>
      </w:r>
      <w:r w:rsidR="008B069A" w:rsidRPr="008B069A">
        <w:rPr>
          <w:lang w:val="en-GB"/>
        </w:rPr>
        <w:t xml:space="preserve"> </w:t>
      </w:r>
      <w:r w:rsidR="008B069A" w:rsidRPr="008B069A">
        <w:rPr>
          <w:lang w:val="en-US"/>
        </w:rPr>
        <w:t>homicide rate</w:t>
      </w:r>
      <w:r w:rsidR="008B069A">
        <w:rPr>
          <w:lang w:val="en-US"/>
        </w:rPr>
        <w:t xml:space="preserve">s per country - </w:t>
      </w:r>
      <w:r w:rsidR="008B069A" w:rsidRPr="008B069A">
        <w:rPr>
          <w:lang w:val="en-US"/>
        </w:rPr>
        <w:t>Unlawful death deliberately inflicted on one person by another person</w:t>
      </w:r>
      <w:r w:rsidR="008B069A">
        <w:rPr>
          <w:lang w:val="en-US"/>
        </w:rPr>
        <w:t xml:space="preserve"> – measured in amount of deaths per 100.000 inhabitants</w:t>
      </w:r>
      <w:r>
        <w:rPr>
          <w:lang w:val="en-US"/>
        </w:rPr>
        <w:t>.</w:t>
      </w:r>
    </w:p>
    <w:p w:rsidR="0022249F" w:rsidRPr="00E42E4F" w:rsidRDefault="008D7E0B" w:rsidP="0022249F">
      <w:pPr>
        <w:rPr>
          <w:lang w:val="en-US"/>
        </w:rPr>
      </w:pPr>
      <w:r>
        <w:rPr>
          <w:lang w:val="en-US"/>
        </w:rPr>
        <w:t>7</w:t>
      </w:r>
      <w:r w:rsidR="0022249F" w:rsidRPr="00E42E4F">
        <w:rPr>
          <w:lang w:val="en-US"/>
        </w:rPr>
        <w:t>. Unit of analysis</w:t>
      </w:r>
    </w:p>
    <w:p w:rsidR="008D7E0B" w:rsidRDefault="00E3589C" w:rsidP="0018359E">
      <w:pPr>
        <w:rPr>
          <w:lang w:val="en-US"/>
        </w:rPr>
      </w:pPr>
      <w:r>
        <w:rPr>
          <w:lang w:val="en-US"/>
        </w:rPr>
        <w:tab/>
        <w:t xml:space="preserve">- </w:t>
      </w:r>
      <w:r w:rsidR="008B069A">
        <w:rPr>
          <w:lang w:val="en-US"/>
        </w:rPr>
        <w:t>Number of deaths per 100.000 inhabitants.</w:t>
      </w:r>
    </w:p>
    <w:p w:rsidR="0022249F" w:rsidRDefault="00E3589C" w:rsidP="0022249F">
      <w:pPr>
        <w:rPr>
          <w:lang w:val="en-US"/>
        </w:rPr>
      </w:pPr>
      <w:r>
        <w:rPr>
          <w:lang w:val="en-US"/>
        </w:rPr>
        <w:t>8</w:t>
      </w:r>
      <w:r w:rsidR="0022249F" w:rsidRPr="00E42E4F">
        <w:rPr>
          <w:lang w:val="en-US"/>
        </w:rPr>
        <w:t>. Keywords (5)</w:t>
      </w:r>
    </w:p>
    <w:p w:rsidR="00E3589C" w:rsidRPr="00E42E4F" w:rsidRDefault="00E3589C" w:rsidP="0022249F">
      <w:pPr>
        <w:rPr>
          <w:lang w:val="en-US"/>
        </w:rPr>
      </w:pPr>
      <w:r>
        <w:rPr>
          <w:lang w:val="en-US"/>
        </w:rPr>
        <w:tab/>
        <w:t>-</w:t>
      </w:r>
      <w:r w:rsidR="00072B3F">
        <w:rPr>
          <w:lang w:val="en-US"/>
        </w:rPr>
        <w:t xml:space="preserve"> personal security, crime, </w:t>
      </w:r>
      <w:r w:rsidR="00072B3F" w:rsidRPr="00072B3F">
        <w:rPr>
          <w:lang w:val="en-US"/>
        </w:rPr>
        <w:t>world</w:t>
      </w:r>
      <w:r w:rsidR="00804DEB" w:rsidRPr="00072B3F">
        <w:rPr>
          <w:lang w:val="en-US"/>
        </w:rPr>
        <w:t>.</w:t>
      </w:r>
    </w:p>
    <w:p w:rsidR="0075418F" w:rsidRDefault="00E3589C" w:rsidP="0075418F">
      <w:pPr>
        <w:rPr>
          <w:lang w:val="en-US"/>
        </w:rPr>
      </w:pPr>
      <w:r>
        <w:rPr>
          <w:lang w:val="en-US"/>
        </w:rPr>
        <w:t>9</w:t>
      </w:r>
      <w:r w:rsidR="0022249F" w:rsidRPr="00E42E4F">
        <w:rPr>
          <w:lang w:val="en-US"/>
        </w:rPr>
        <w:t>. Abstract (200 words)</w:t>
      </w:r>
    </w:p>
    <w:p w:rsidR="00072B3F" w:rsidRDefault="00072B3F" w:rsidP="0075418F">
      <w:pPr>
        <w:rPr>
          <w:lang w:val="en-US"/>
        </w:rPr>
      </w:pPr>
    </w:p>
    <w:p w:rsidR="00072B3F" w:rsidRDefault="00072B3F" w:rsidP="0075418F">
      <w:pPr>
        <w:rPr>
          <w:lang w:val="en-US"/>
        </w:rPr>
      </w:pPr>
      <w:r>
        <w:rPr>
          <w:lang w:val="en-US"/>
        </w:rPr>
        <w:t xml:space="preserve">In this dataset, the number of homicides per 100.000 inhabitants of a country is calculated. To determine the number of homicides, the </w:t>
      </w:r>
      <w:r w:rsidRPr="00072B3F">
        <w:rPr>
          <w:lang w:val="en-US"/>
        </w:rPr>
        <w:t>official def</w:t>
      </w:r>
      <w:r>
        <w:rPr>
          <w:lang w:val="en-US"/>
        </w:rPr>
        <w:t xml:space="preserve">inition of intentional homicide, </w:t>
      </w:r>
      <w:r w:rsidRPr="00072B3F">
        <w:rPr>
          <w:lang w:val="en-US"/>
        </w:rPr>
        <w:t>“unlawful death deliberately inflicted on one person by another person” (OECD, 2011)</w:t>
      </w:r>
      <w:r>
        <w:rPr>
          <w:lang w:val="en-US"/>
        </w:rPr>
        <w:t>, was used</w:t>
      </w:r>
      <w:r w:rsidRPr="00072B3F">
        <w:rPr>
          <w:lang w:val="en-US"/>
        </w:rPr>
        <w:t xml:space="preserve">. </w:t>
      </w:r>
      <w:r>
        <w:rPr>
          <w:lang w:val="en-US"/>
        </w:rPr>
        <w:t xml:space="preserve">The dataset excludes </w:t>
      </w:r>
      <w:r w:rsidRPr="00072B3F">
        <w:rPr>
          <w:lang w:val="en-US"/>
        </w:rPr>
        <w:t xml:space="preserve">civilian and military deaths  </w:t>
      </w:r>
      <w:r>
        <w:rPr>
          <w:lang w:val="en-US"/>
        </w:rPr>
        <w:t>in</w:t>
      </w:r>
      <w:r w:rsidR="00F71D52">
        <w:rPr>
          <w:lang w:val="en-US"/>
        </w:rPr>
        <w:t>flicted during</w:t>
      </w:r>
      <w:r>
        <w:rPr>
          <w:lang w:val="en-US"/>
        </w:rPr>
        <w:t xml:space="preserve"> inter-state wars and deaths caused by civil wars (OECD, 2014)</w:t>
      </w:r>
      <w:r w:rsidRPr="00072B3F">
        <w:rPr>
          <w:lang w:val="en-US"/>
        </w:rPr>
        <w:t>.</w:t>
      </w:r>
    </w:p>
    <w:p w:rsidR="0075418F" w:rsidRDefault="0075418F" w:rsidP="0075418F">
      <w:pPr>
        <w:rPr>
          <w:lang w:val="en-US"/>
        </w:rPr>
      </w:pPr>
    </w:p>
    <w:p w:rsidR="0022249F" w:rsidRPr="00E42E4F" w:rsidRDefault="0022249F" w:rsidP="0022249F">
      <w:pPr>
        <w:rPr>
          <w:lang w:val="en-US"/>
        </w:rPr>
      </w:pPr>
      <w:r w:rsidRPr="00E42E4F">
        <w:rPr>
          <w:lang w:val="en-US"/>
        </w:rPr>
        <w:t>1</w:t>
      </w:r>
      <w:r w:rsidR="00C16C16">
        <w:rPr>
          <w:lang w:val="en-US"/>
        </w:rPr>
        <w:t>0</w:t>
      </w:r>
      <w:r w:rsidRPr="00E42E4F">
        <w:rPr>
          <w:lang w:val="en-US"/>
        </w:rPr>
        <w:t>. Time period</w:t>
      </w:r>
    </w:p>
    <w:p w:rsidR="00C16C16" w:rsidRDefault="00C16C16" w:rsidP="0022249F">
      <w:pPr>
        <w:rPr>
          <w:lang w:val="en-US"/>
        </w:rPr>
      </w:pPr>
      <w:r>
        <w:rPr>
          <w:lang w:val="en-US"/>
        </w:rPr>
        <w:tab/>
        <w:t xml:space="preserve">- </w:t>
      </w:r>
      <w:r w:rsidR="004C280F">
        <w:rPr>
          <w:lang w:val="en-US"/>
        </w:rPr>
        <w:t>1</w:t>
      </w:r>
      <w:r w:rsidR="00804DEB">
        <w:rPr>
          <w:lang w:val="en-US"/>
        </w:rPr>
        <w:t>8</w:t>
      </w:r>
      <w:r w:rsidR="004C280F">
        <w:rPr>
          <w:lang w:val="en-US"/>
        </w:rPr>
        <w:t>50</w:t>
      </w:r>
      <w:r w:rsidR="0018359E">
        <w:rPr>
          <w:lang w:val="en-US"/>
        </w:rPr>
        <w:t>-2000</w:t>
      </w:r>
      <w:r>
        <w:rPr>
          <w:lang w:val="en-US"/>
        </w:rPr>
        <w:t>.</w:t>
      </w:r>
    </w:p>
    <w:p w:rsidR="0022249F" w:rsidRPr="00E42E4F" w:rsidRDefault="0022249F" w:rsidP="0022249F">
      <w:pPr>
        <w:rPr>
          <w:lang w:val="en-US"/>
        </w:rPr>
      </w:pPr>
      <w:r w:rsidRPr="00E42E4F">
        <w:rPr>
          <w:lang w:val="en-US"/>
        </w:rPr>
        <w:t>1</w:t>
      </w:r>
      <w:r w:rsidR="00C16C16">
        <w:rPr>
          <w:lang w:val="en-US"/>
        </w:rPr>
        <w:t>1</w:t>
      </w:r>
      <w:r w:rsidRPr="00E42E4F">
        <w:rPr>
          <w:lang w:val="en-US"/>
        </w:rPr>
        <w:t>. Geographical coverage</w:t>
      </w:r>
    </w:p>
    <w:p w:rsidR="003132A6" w:rsidRDefault="003132A6" w:rsidP="00BA2BA6">
      <w:pPr>
        <w:rPr>
          <w:lang w:val="en-US"/>
        </w:rPr>
      </w:pPr>
      <w:r>
        <w:rPr>
          <w:lang w:val="en-US"/>
        </w:rPr>
        <w:tab/>
        <w:t xml:space="preserve">- </w:t>
      </w:r>
      <w:r w:rsidR="0018359E">
        <w:rPr>
          <w:lang w:val="en-US"/>
        </w:rPr>
        <w:t>Entire World</w:t>
      </w:r>
      <w:r>
        <w:rPr>
          <w:lang w:val="en-US"/>
        </w:rPr>
        <w:t>.</w:t>
      </w:r>
    </w:p>
    <w:p w:rsidR="00BA2BA6" w:rsidRPr="00E42E4F" w:rsidRDefault="00BA2BA6" w:rsidP="00BA2BA6">
      <w:pPr>
        <w:rPr>
          <w:lang w:val="en-US"/>
        </w:rPr>
      </w:pPr>
      <w:r w:rsidRPr="00E42E4F">
        <w:rPr>
          <w:lang w:val="en-US"/>
        </w:rPr>
        <w:t>1</w:t>
      </w:r>
      <w:r w:rsidR="003132A6">
        <w:rPr>
          <w:lang w:val="en-US"/>
        </w:rPr>
        <w:t>2</w:t>
      </w:r>
      <w:r w:rsidRPr="00E42E4F">
        <w:rPr>
          <w:lang w:val="en-US"/>
        </w:rPr>
        <w:t>. Methodologies used for data collection and processing</w:t>
      </w:r>
    </w:p>
    <w:p w:rsidR="00F42E54" w:rsidRDefault="003132A6" w:rsidP="00F42E54">
      <w:pPr>
        <w:ind w:left="705"/>
        <w:rPr>
          <w:lang w:val="en-US"/>
        </w:rPr>
      </w:pPr>
      <w:r>
        <w:rPr>
          <w:lang w:val="en-US"/>
        </w:rPr>
        <w:t xml:space="preserve">- </w:t>
      </w:r>
      <w:r w:rsidR="0018359E">
        <w:rPr>
          <w:lang w:val="en-US"/>
        </w:rPr>
        <w:t>Bibliographical</w:t>
      </w:r>
      <w:r w:rsidR="00B17D7A">
        <w:rPr>
          <w:lang w:val="en-US"/>
        </w:rPr>
        <w:t xml:space="preserve"> research</w:t>
      </w:r>
      <w:r w:rsidR="0075418F">
        <w:rPr>
          <w:lang w:val="en-US"/>
        </w:rPr>
        <w:t xml:space="preserve"> and</w:t>
      </w:r>
      <w:r w:rsidR="00F42E54">
        <w:rPr>
          <w:lang w:val="en-US"/>
        </w:rPr>
        <w:t xml:space="preserve"> research of published and Online </w:t>
      </w:r>
      <w:r w:rsidR="0018359E">
        <w:rPr>
          <w:lang w:val="en-US"/>
        </w:rPr>
        <w:t>Databases</w:t>
      </w:r>
      <w:r w:rsidR="0075418F">
        <w:rPr>
          <w:lang w:val="en-US"/>
        </w:rPr>
        <w:t>.</w:t>
      </w:r>
    </w:p>
    <w:p w:rsidR="0022249F" w:rsidRPr="00E42E4F" w:rsidRDefault="003132A6" w:rsidP="0022249F">
      <w:pPr>
        <w:rPr>
          <w:lang w:val="en-US"/>
        </w:rPr>
      </w:pPr>
      <w:r>
        <w:rPr>
          <w:lang w:val="en-US"/>
        </w:rPr>
        <w:t>13</w:t>
      </w:r>
      <w:r w:rsidR="0022249F" w:rsidRPr="00E42E4F">
        <w:rPr>
          <w:lang w:val="en-US"/>
        </w:rPr>
        <w:t>. Data quality</w:t>
      </w:r>
    </w:p>
    <w:p w:rsidR="00195B06" w:rsidRPr="00195B06" w:rsidRDefault="00195B06" w:rsidP="00A53FCE">
      <w:pPr>
        <w:rPr>
          <w:lang w:val="en-US"/>
        </w:rPr>
      </w:pPr>
      <w:r>
        <w:rPr>
          <w:lang w:val="en-US"/>
        </w:rPr>
        <w:t>1. High quality</w:t>
      </w:r>
      <w:r w:rsidR="00A53FCE">
        <w:rPr>
          <w:lang w:val="en-US"/>
        </w:rPr>
        <w:t xml:space="preserve">; </w:t>
      </w:r>
      <w:r w:rsidRPr="00195B06">
        <w:rPr>
          <w:lang w:val="en-US"/>
        </w:rPr>
        <w:t>2. Moderate quality</w:t>
      </w:r>
      <w:r w:rsidR="00A53FCE">
        <w:rPr>
          <w:lang w:val="en-US"/>
        </w:rPr>
        <w:t xml:space="preserve">; </w:t>
      </w:r>
      <w:r w:rsidRPr="00195B06">
        <w:rPr>
          <w:lang w:val="en-US"/>
        </w:rPr>
        <w:t>3. Low quality</w:t>
      </w:r>
      <w:r w:rsidR="00A53FCE">
        <w:rPr>
          <w:lang w:val="en-US"/>
        </w:rPr>
        <w:t xml:space="preserve"> and  </w:t>
      </w:r>
      <w:r>
        <w:rPr>
          <w:lang w:val="en-US"/>
        </w:rPr>
        <w:t>4. Estimates</w:t>
      </w:r>
      <w:r w:rsidR="00A53FCE">
        <w:rPr>
          <w:lang w:val="en-US"/>
        </w:rPr>
        <w:t xml:space="preserve">. </w:t>
      </w:r>
    </w:p>
    <w:tbl>
      <w:tblPr>
        <w:tblStyle w:val="Rcsostblzat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960"/>
        <w:gridCol w:w="983"/>
        <w:gridCol w:w="891"/>
        <w:gridCol w:w="1090"/>
        <w:gridCol w:w="1128"/>
        <w:gridCol w:w="960"/>
        <w:gridCol w:w="960"/>
        <w:gridCol w:w="960"/>
        <w:gridCol w:w="960"/>
      </w:tblGrid>
      <w:tr w:rsidR="00A53FCE" w:rsidRPr="00527B3A" w:rsidTr="00A53FCE">
        <w:trPr>
          <w:trHeight w:val="1290"/>
        </w:trPr>
        <w:tc>
          <w:tcPr>
            <w:tcW w:w="960" w:type="dxa"/>
            <w:noWrap/>
            <w:hideMark/>
          </w:tcPr>
          <w:p w:rsidR="00A53FCE" w:rsidRPr="00A53FCE" w:rsidRDefault="00A53FCE" w:rsidP="00A53FCE">
            <w:pPr>
              <w:rPr>
                <w:lang w:val="en-GB"/>
              </w:rPr>
            </w:pPr>
            <w:r w:rsidRPr="00A53FCE">
              <w:rPr>
                <w:lang w:val="en-GB"/>
              </w:rPr>
              <w:t> </w:t>
            </w:r>
          </w:p>
        </w:tc>
        <w:tc>
          <w:tcPr>
            <w:tcW w:w="983" w:type="dxa"/>
            <w:hideMark/>
          </w:tcPr>
          <w:p w:rsidR="00A53FCE" w:rsidRPr="00A53FCE" w:rsidRDefault="00A53FCE" w:rsidP="00A53FCE">
            <w:pPr>
              <w:rPr>
                <w:lang w:val="en-GB"/>
              </w:rPr>
            </w:pPr>
            <w:r w:rsidRPr="00A53FCE">
              <w:rPr>
                <w:lang w:val="en-GB"/>
              </w:rPr>
              <w:t>Western Europe (WE)</w:t>
            </w:r>
          </w:p>
        </w:tc>
        <w:tc>
          <w:tcPr>
            <w:tcW w:w="891" w:type="dxa"/>
            <w:hideMark/>
          </w:tcPr>
          <w:p w:rsidR="00A53FCE" w:rsidRPr="00A53FCE" w:rsidRDefault="00A53FCE" w:rsidP="00A53FCE">
            <w:pPr>
              <w:rPr>
                <w:lang w:val="en-GB"/>
              </w:rPr>
            </w:pPr>
            <w:r w:rsidRPr="00A53FCE">
              <w:rPr>
                <w:lang w:val="en-GB"/>
              </w:rPr>
              <w:t>Eastern Europe (EE)</w:t>
            </w:r>
          </w:p>
        </w:tc>
        <w:tc>
          <w:tcPr>
            <w:tcW w:w="1090" w:type="dxa"/>
            <w:hideMark/>
          </w:tcPr>
          <w:p w:rsidR="00A53FCE" w:rsidRPr="00A53FCE" w:rsidRDefault="00A53FCE" w:rsidP="00A53FCE">
            <w:pPr>
              <w:rPr>
                <w:lang w:val="en-GB"/>
              </w:rPr>
            </w:pPr>
            <w:r w:rsidRPr="00A53FCE">
              <w:rPr>
                <w:lang w:val="en-GB"/>
              </w:rPr>
              <w:t>Western Offshoots (WO)</w:t>
            </w:r>
          </w:p>
        </w:tc>
        <w:tc>
          <w:tcPr>
            <w:tcW w:w="1128" w:type="dxa"/>
            <w:hideMark/>
          </w:tcPr>
          <w:p w:rsidR="00A53FCE" w:rsidRPr="00A53FCE" w:rsidRDefault="00A53FCE" w:rsidP="00A53FCE">
            <w:pPr>
              <w:rPr>
                <w:lang w:val="en-GB"/>
              </w:rPr>
            </w:pPr>
            <w:r w:rsidRPr="00A53FCE">
              <w:rPr>
                <w:lang w:val="en-GB"/>
              </w:rPr>
              <w:t>Latin America and Caribbean (LA)</w:t>
            </w:r>
          </w:p>
        </w:tc>
        <w:tc>
          <w:tcPr>
            <w:tcW w:w="960" w:type="dxa"/>
            <w:hideMark/>
          </w:tcPr>
          <w:p w:rsidR="00A53FCE" w:rsidRPr="00A53FCE" w:rsidRDefault="00A53FCE" w:rsidP="00A53FCE">
            <w:pPr>
              <w:rPr>
                <w:lang w:val="en-GB"/>
              </w:rPr>
            </w:pPr>
            <w:r w:rsidRPr="00A53FCE">
              <w:rPr>
                <w:lang w:val="en-GB"/>
              </w:rPr>
              <w:t>Sub-Sahara Africa    (SSA)</w:t>
            </w:r>
          </w:p>
        </w:tc>
        <w:tc>
          <w:tcPr>
            <w:tcW w:w="960" w:type="dxa"/>
            <w:hideMark/>
          </w:tcPr>
          <w:p w:rsidR="00A53FCE" w:rsidRPr="00195B06" w:rsidRDefault="00A53FCE" w:rsidP="00A53FCE">
            <w:pPr>
              <w:rPr>
                <w:lang w:val="en-GB"/>
              </w:rPr>
            </w:pPr>
            <w:r w:rsidRPr="00195B06">
              <w:rPr>
                <w:lang w:val="en-GB"/>
              </w:rPr>
              <w:t>Middle East and North Africa (MENA)</w:t>
            </w:r>
          </w:p>
        </w:tc>
        <w:tc>
          <w:tcPr>
            <w:tcW w:w="960" w:type="dxa"/>
            <w:hideMark/>
          </w:tcPr>
          <w:p w:rsidR="00A53FCE" w:rsidRPr="00195B06" w:rsidRDefault="00A53FCE" w:rsidP="00A53FCE">
            <w:r w:rsidRPr="00195B06">
              <w:t xml:space="preserve">East Asia (EA) </w:t>
            </w:r>
          </w:p>
        </w:tc>
        <w:tc>
          <w:tcPr>
            <w:tcW w:w="960" w:type="dxa"/>
            <w:hideMark/>
          </w:tcPr>
          <w:p w:rsidR="00A53FCE" w:rsidRPr="00195B06" w:rsidRDefault="00A53FCE" w:rsidP="00A53FCE">
            <w:pPr>
              <w:rPr>
                <w:lang w:val="en-GB"/>
              </w:rPr>
            </w:pPr>
            <w:r w:rsidRPr="00195B06">
              <w:rPr>
                <w:lang w:val="en-GB"/>
              </w:rPr>
              <w:t>South and South-East Asia (SSEA)</w:t>
            </w:r>
          </w:p>
        </w:tc>
      </w:tr>
      <w:tr w:rsidR="00A53FCE" w:rsidRPr="00195B06" w:rsidTr="00A53FCE">
        <w:trPr>
          <w:trHeight w:val="300"/>
        </w:trPr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1820</w:t>
            </w:r>
          </w:p>
        </w:tc>
        <w:tc>
          <w:tcPr>
            <w:tcW w:w="983" w:type="dxa"/>
            <w:noWrap/>
            <w:hideMark/>
          </w:tcPr>
          <w:p w:rsidR="00A53FCE" w:rsidRPr="00195B06" w:rsidRDefault="00A53FCE" w:rsidP="00A53FCE">
            <w:r w:rsidRPr="00195B06">
              <w:t>3</w:t>
            </w:r>
          </w:p>
        </w:tc>
        <w:tc>
          <w:tcPr>
            <w:tcW w:w="891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109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1128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4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</w:tr>
      <w:tr w:rsidR="00A53FCE" w:rsidRPr="00195B06" w:rsidTr="00A53FCE">
        <w:trPr>
          <w:trHeight w:val="300"/>
        </w:trPr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1870</w:t>
            </w:r>
          </w:p>
        </w:tc>
        <w:tc>
          <w:tcPr>
            <w:tcW w:w="983" w:type="dxa"/>
            <w:noWrap/>
            <w:hideMark/>
          </w:tcPr>
          <w:p w:rsidR="00A53FCE" w:rsidRPr="00195B06" w:rsidRDefault="00A53FCE" w:rsidP="00A53FCE">
            <w:r w:rsidRPr="00195B06">
              <w:t>3</w:t>
            </w:r>
          </w:p>
        </w:tc>
        <w:tc>
          <w:tcPr>
            <w:tcW w:w="891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109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1128" w:type="dxa"/>
            <w:noWrap/>
            <w:hideMark/>
          </w:tcPr>
          <w:p w:rsidR="00A53FCE" w:rsidRPr="00195B06" w:rsidRDefault="00A53FCE" w:rsidP="00A53FCE">
            <w:r w:rsidRPr="00195B06">
              <w:t>3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</w:tr>
      <w:tr w:rsidR="00A53FCE" w:rsidRPr="00195B06" w:rsidTr="00A53FCE">
        <w:trPr>
          <w:trHeight w:val="300"/>
        </w:trPr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1913</w:t>
            </w:r>
          </w:p>
        </w:tc>
        <w:tc>
          <w:tcPr>
            <w:tcW w:w="983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891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109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1128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</w:tr>
      <w:tr w:rsidR="00A53FCE" w:rsidRPr="00195B06" w:rsidTr="00A53FCE">
        <w:trPr>
          <w:trHeight w:val="300"/>
        </w:trPr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1950</w:t>
            </w:r>
          </w:p>
        </w:tc>
        <w:tc>
          <w:tcPr>
            <w:tcW w:w="983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891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109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1128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..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</w:tr>
      <w:tr w:rsidR="00A53FCE" w:rsidRPr="00195B06" w:rsidTr="00A53FCE">
        <w:trPr>
          <w:trHeight w:val="300"/>
        </w:trPr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1973</w:t>
            </w:r>
          </w:p>
        </w:tc>
        <w:tc>
          <w:tcPr>
            <w:tcW w:w="983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891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109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1128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</w:tr>
      <w:tr w:rsidR="00A53FCE" w:rsidRPr="00195B06" w:rsidTr="00A53FCE">
        <w:trPr>
          <w:trHeight w:val="300"/>
        </w:trPr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2008</w:t>
            </w:r>
          </w:p>
        </w:tc>
        <w:tc>
          <w:tcPr>
            <w:tcW w:w="983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891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109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1128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  <w:tc>
          <w:tcPr>
            <w:tcW w:w="960" w:type="dxa"/>
            <w:noWrap/>
            <w:hideMark/>
          </w:tcPr>
          <w:p w:rsidR="00A53FCE" w:rsidRPr="00195B06" w:rsidRDefault="00A53FCE" w:rsidP="00A53FCE">
            <w:r w:rsidRPr="00195B06">
              <w:t>1</w:t>
            </w:r>
          </w:p>
        </w:tc>
      </w:tr>
    </w:tbl>
    <w:p w:rsidR="00195B06" w:rsidRPr="00195B06" w:rsidRDefault="00195B06" w:rsidP="00195B06">
      <w:pPr>
        <w:rPr>
          <w:lang w:val="en-US"/>
        </w:rPr>
      </w:pPr>
      <w:r w:rsidRPr="00195B06">
        <w:rPr>
          <w:lang w:val="en-US"/>
        </w:rPr>
        <w:t xml:space="preserve">See the section on "Data Quality" in Chapter 1 of the OECD How Was Life </w:t>
      </w:r>
      <w:r w:rsidR="00A53FCE">
        <w:rPr>
          <w:lang w:val="en-US"/>
        </w:rPr>
        <w:t xml:space="preserve">report </w:t>
      </w:r>
      <w:r w:rsidRPr="00195B06">
        <w:rPr>
          <w:lang w:val="en-US"/>
        </w:rPr>
        <w:t>(2014) for a description of the quality criteria.</w:t>
      </w:r>
    </w:p>
    <w:p w:rsidR="0022249F" w:rsidRPr="00195B06" w:rsidRDefault="003132A6" w:rsidP="0022249F">
      <w:pPr>
        <w:rPr>
          <w:lang w:val="en-GB"/>
        </w:rPr>
      </w:pPr>
      <w:r>
        <w:rPr>
          <w:lang w:val="en-US"/>
        </w:rPr>
        <w:lastRenderedPageBreak/>
        <w:t>14</w:t>
      </w:r>
      <w:r w:rsidR="008274E7">
        <w:rPr>
          <w:lang w:val="en-US"/>
        </w:rPr>
        <w:t>.</w:t>
      </w:r>
      <w:r w:rsidR="0022249F" w:rsidRPr="00E42E4F">
        <w:rPr>
          <w:lang w:val="en-US"/>
        </w:rPr>
        <w:t xml:space="preserve"> </w:t>
      </w:r>
      <w:r w:rsidR="008274E7">
        <w:rPr>
          <w:lang w:val="en-US"/>
        </w:rPr>
        <w:t xml:space="preserve">Period </w:t>
      </w:r>
      <w:r w:rsidR="0022249F" w:rsidRPr="00E42E4F">
        <w:rPr>
          <w:lang w:val="en-US"/>
        </w:rPr>
        <w:t>of collection</w:t>
      </w:r>
    </w:p>
    <w:p w:rsidR="003132A6" w:rsidRDefault="003132A6" w:rsidP="0022249F">
      <w:pPr>
        <w:rPr>
          <w:lang w:val="en-US"/>
        </w:rPr>
      </w:pPr>
      <w:r>
        <w:rPr>
          <w:lang w:val="en-US"/>
        </w:rPr>
        <w:tab/>
        <w:t xml:space="preserve">- </w:t>
      </w:r>
      <w:r w:rsidR="00AF16EC">
        <w:rPr>
          <w:lang w:val="en-US"/>
        </w:rPr>
        <w:t>December 2013</w:t>
      </w:r>
      <w:r w:rsidR="007045D1">
        <w:rPr>
          <w:lang w:val="en-US"/>
        </w:rPr>
        <w:t xml:space="preserve"> </w:t>
      </w:r>
      <w:r w:rsidR="00AF16EC">
        <w:rPr>
          <w:lang w:val="en-US"/>
        </w:rPr>
        <w:t>–</w:t>
      </w:r>
      <w:r w:rsidR="0018359E">
        <w:rPr>
          <w:lang w:val="en-US"/>
        </w:rPr>
        <w:t xml:space="preserve"> </w:t>
      </w:r>
      <w:r w:rsidR="00AF16EC">
        <w:rPr>
          <w:lang w:val="en-US"/>
        </w:rPr>
        <w:t>April 2014</w:t>
      </w:r>
      <w:r>
        <w:rPr>
          <w:lang w:val="en-US"/>
        </w:rPr>
        <w:t>.</w:t>
      </w:r>
    </w:p>
    <w:p w:rsidR="0022249F" w:rsidRPr="008B069A" w:rsidRDefault="003132A6" w:rsidP="0022249F">
      <w:r w:rsidRPr="008B069A">
        <w:t>15</w:t>
      </w:r>
      <w:r w:rsidR="0022249F" w:rsidRPr="008B069A">
        <w:t>. Data collectors</w:t>
      </w:r>
    </w:p>
    <w:p w:rsidR="003132A6" w:rsidRPr="00804DEB" w:rsidRDefault="003132A6" w:rsidP="0018359E">
      <w:r w:rsidRPr="008B069A">
        <w:tab/>
      </w:r>
      <w:r w:rsidRPr="00804DEB">
        <w:t>-</w:t>
      </w:r>
      <w:r w:rsidR="00AF16EC">
        <w:t xml:space="preserve"> Winny Bierman and Jan Luiten van Zanden</w:t>
      </w:r>
    </w:p>
    <w:p w:rsidR="0022249F" w:rsidRPr="00E42E4F" w:rsidRDefault="00BA2BA6" w:rsidP="003132A6">
      <w:pPr>
        <w:rPr>
          <w:lang w:val="en-US"/>
        </w:rPr>
      </w:pPr>
      <w:r w:rsidRPr="00E42E4F">
        <w:rPr>
          <w:lang w:val="en-US"/>
        </w:rPr>
        <w:t>1</w:t>
      </w:r>
      <w:r w:rsidR="003132A6">
        <w:rPr>
          <w:lang w:val="en-US"/>
        </w:rPr>
        <w:t>6</w:t>
      </w:r>
      <w:r w:rsidR="0022249F" w:rsidRPr="00E42E4F">
        <w:rPr>
          <w:lang w:val="en-US"/>
        </w:rPr>
        <w:t>. Sources</w:t>
      </w:r>
    </w:p>
    <w:p w:rsidR="00195B06" w:rsidRDefault="00195B06" w:rsidP="00B64C5E">
      <w:pPr>
        <w:ind w:left="709" w:hanging="709"/>
        <w:rPr>
          <w:i/>
          <w:lang w:val="en-US"/>
        </w:rPr>
      </w:pPr>
      <w:bookmarkStart w:id="0" w:name="_GoBack"/>
      <w:r w:rsidRPr="006C643A">
        <w:rPr>
          <w:i/>
          <w:lang w:val="en-US"/>
        </w:rPr>
        <w:t>Baten, J</w:t>
      </w:r>
      <w:r>
        <w:rPr>
          <w:i/>
          <w:lang w:val="en-US"/>
        </w:rPr>
        <w:t>.</w:t>
      </w:r>
      <w:r w:rsidRPr="006C643A">
        <w:rPr>
          <w:i/>
          <w:lang w:val="en-US"/>
        </w:rPr>
        <w:t xml:space="preserve"> and  Fourie</w:t>
      </w:r>
      <w:r>
        <w:rPr>
          <w:i/>
          <w:lang w:val="en-US"/>
        </w:rPr>
        <w:t xml:space="preserve"> J.</w:t>
      </w:r>
      <w:r w:rsidRPr="006C643A">
        <w:rPr>
          <w:i/>
          <w:lang w:val="en-US"/>
        </w:rPr>
        <w:t xml:space="preserve"> (2014): “Numeracy of Africans, Asians, and Europeans during the Early Modern Period: New Evidence from Cape Colony Court Registers”, </w:t>
      </w:r>
      <w:r>
        <w:rPr>
          <w:i/>
          <w:lang w:val="en-US"/>
        </w:rPr>
        <w:t>University of</w:t>
      </w:r>
      <w:r w:rsidRPr="006C643A">
        <w:rPr>
          <w:i/>
          <w:lang w:val="en-US"/>
        </w:rPr>
        <w:t xml:space="preserve"> Tuebingen</w:t>
      </w:r>
      <w:r>
        <w:rPr>
          <w:i/>
          <w:lang w:val="en-US"/>
        </w:rPr>
        <w:t>:</w:t>
      </w:r>
      <w:r w:rsidRPr="006C643A">
        <w:rPr>
          <w:i/>
          <w:lang w:val="en-US"/>
        </w:rPr>
        <w:t xml:space="preserve"> Working Paper.</w:t>
      </w:r>
    </w:p>
    <w:p w:rsidR="00195B06" w:rsidRDefault="00195B06" w:rsidP="00B64C5E">
      <w:pPr>
        <w:ind w:left="709" w:hanging="709"/>
        <w:rPr>
          <w:i/>
          <w:lang w:val="en-US"/>
        </w:rPr>
      </w:pPr>
    </w:p>
    <w:p w:rsidR="00195B06" w:rsidRDefault="00195B06" w:rsidP="00B64C5E">
      <w:pPr>
        <w:ind w:left="709" w:hanging="709"/>
        <w:rPr>
          <w:i/>
          <w:lang w:val="es-ES"/>
        </w:rPr>
      </w:pPr>
      <w:r w:rsidRPr="00527B3A">
        <w:rPr>
          <w:i/>
          <w:lang w:val="es-ES"/>
        </w:rPr>
        <w:t xml:space="preserve">Brazil. </w:t>
      </w:r>
      <w:r w:rsidRPr="00195B06">
        <w:rPr>
          <w:i/>
          <w:lang w:val="es-ES"/>
        </w:rPr>
        <w:t>Ministério do Império (198-?), “Relatórios ministeriais, Época do Império, 1832-1888”, Rio de Janeiro: MEC-SEAC, Biblioteca Nacional, Servic̜o de Reprografia [microform].</w:t>
      </w:r>
    </w:p>
    <w:p w:rsidR="00195B06" w:rsidRPr="00527B3A" w:rsidRDefault="00195B06" w:rsidP="00B64C5E">
      <w:pPr>
        <w:ind w:left="709" w:hanging="709"/>
        <w:rPr>
          <w:i/>
          <w:lang w:val="es-ES"/>
        </w:rPr>
      </w:pPr>
    </w:p>
    <w:p w:rsidR="00195B06" w:rsidRPr="00804DEB" w:rsidRDefault="00195B06" w:rsidP="00B64C5E">
      <w:pPr>
        <w:ind w:left="709" w:hanging="709"/>
        <w:rPr>
          <w:i/>
          <w:lang w:val="en-US"/>
        </w:rPr>
      </w:pPr>
      <w:r w:rsidRPr="006C643A">
        <w:rPr>
          <w:i/>
          <w:lang w:val="en-US"/>
        </w:rPr>
        <w:t>British Colonial Reports ('Blue books') of Gambia and Ghana</w:t>
      </w:r>
    </w:p>
    <w:p w:rsidR="00195B06" w:rsidRDefault="00195B06" w:rsidP="00B64C5E">
      <w:pPr>
        <w:ind w:left="709" w:hanging="709"/>
        <w:rPr>
          <w:i/>
          <w:lang w:val="en-US"/>
        </w:rPr>
      </w:pPr>
    </w:p>
    <w:p w:rsidR="00195B06" w:rsidRDefault="00195B06" w:rsidP="00B64C5E">
      <w:pPr>
        <w:ind w:left="709" w:hanging="709"/>
        <w:rPr>
          <w:i/>
          <w:lang w:val="en-US"/>
        </w:rPr>
      </w:pPr>
      <w:r w:rsidRPr="00AF16EC">
        <w:rPr>
          <w:i/>
          <w:lang w:val="en-US"/>
        </w:rPr>
        <w:t>Eisner, M. (2003). Long-Term Historical Trends in Violent Crime, Crime and Justice; A Review of Research, 30, 83-142.</w:t>
      </w:r>
    </w:p>
    <w:p w:rsidR="00195B06" w:rsidRDefault="00195B06" w:rsidP="00B64C5E">
      <w:pPr>
        <w:ind w:left="709" w:hanging="709"/>
        <w:rPr>
          <w:i/>
          <w:lang w:val="en-US"/>
        </w:rPr>
      </w:pPr>
    </w:p>
    <w:p w:rsidR="00195B06" w:rsidRDefault="00195B06" w:rsidP="006C643A">
      <w:pPr>
        <w:ind w:left="709" w:hanging="709"/>
        <w:rPr>
          <w:i/>
          <w:lang w:val="en-US"/>
        </w:rPr>
      </w:pPr>
      <w:r w:rsidRPr="0027143C">
        <w:rPr>
          <w:i/>
          <w:lang w:val="en-US"/>
        </w:rPr>
        <w:t>Eisner, M., (</w:t>
      </w:r>
      <w:r w:rsidR="00527B3A">
        <w:rPr>
          <w:i/>
          <w:lang w:val="en-US"/>
        </w:rPr>
        <w:t xml:space="preserve">2014, </w:t>
      </w:r>
      <w:r w:rsidRPr="0027143C">
        <w:rPr>
          <w:i/>
          <w:lang w:val="en-US"/>
        </w:rPr>
        <w:t xml:space="preserve">Forthcoming), From Swords to Words. Does Macro-level Change in Self-control Predict Long-Term Variation in Levels of Homicide? </w:t>
      </w:r>
      <w:r w:rsidR="00527B3A" w:rsidRPr="00527B3A">
        <w:rPr>
          <w:i/>
          <w:lang w:val="en-US"/>
        </w:rPr>
        <w:t>Crime</w:t>
      </w:r>
      <w:r w:rsidR="00527B3A">
        <w:rPr>
          <w:i/>
          <w:lang w:val="en-US"/>
        </w:rPr>
        <w:t xml:space="preserve"> </w:t>
      </w:r>
      <w:r w:rsidR="00527B3A" w:rsidRPr="00527B3A">
        <w:rPr>
          <w:i/>
          <w:lang w:val="en-US"/>
        </w:rPr>
        <w:t>and</w:t>
      </w:r>
      <w:r w:rsidR="00527B3A">
        <w:rPr>
          <w:i/>
          <w:lang w:val="en-US"/>
        </w:rPr>
        <w:t xml:space="preserve"> </w:t>
      </w:r>
      <w:r w:rsidR="00527B3A" w:rsidRPr="00527B3A">
        <w:rPr>
          <w:i/>
          <w:lang w:val="en-US"/>
        </w:rPr>
        <w:t>Justice,A</w:t>
      </w:r>
      <w:r w:rsidR="00527B3A" w:rsidRPr="00527B3A">
        <w:rPr>
          <w:i/>
          <w:lang w:val="en-US"/>
        </w:rPr>
        <w:tab/>
        <w:t>Review</w:t>
      </w:r>
      <w:r w:rsidR="00527B3A" w:rsidRPr="00527B3A">
        <w:rPr>
          <w:i/>
          <w:lang w:val="en-US"/>
        </w:rPr>
        <w:tab/>
        <w:t>of</w:t>
      </w:r>
      <w:r w:rsidR="00527B3A">
        <w:rPr>
          <w:i/>
          <w:lang w:val="en-US"/>
        </w:rPr>
        <w:t xml:space="preserve"> </w:t>
      </w:r>
      <w:r w:rsidR="00527B3A" w:rsidRPr="00527B3A">
        <w:rPr>
          <w:i/>
          <w:lang w:val="en-US"/>
        </w:rPr>
        <w:t>Research</w:t>
      </w:r>
      <w:r w:rsidRPr="0027143C">
        <w:rPr>
          <w:i/>
          <w:lang w:val="en-US"/>
        </w:rPr>
        <w:t xml:space="preserve"> </w:t>
      </w:r>
      <w:r w:rsidR="00527B3A">
        <w:rPr>
          <w:i/>
          <w:lang w:val="en-US"/>
        </w:rPr>
        <w:t>(</w:t>
      </w:r>
      <w:r w:rsidRPr="0027143C">
        <w:rPr>
          <w:i/>
          <w:lang w:val="en-US"/>
        </w:rPr>
        <w:t>forthcoming</w:t>
      </w:r>
      <w:r w:rsidR="00527B3A">
        <w:rPr>
          <w:i/>
          <w:lang w:val="en-US"/>
        </w:rPr>
        <w:t>)</w:t>
      </w:r>
      <w:r w:rsidRPr="0027143C">
        <w:rPr>
          <w:i/>
          <w:lang w:val="en-US"/>
        </w:rPr>
        <w:t>.</w:t>
      </w:r>
    </w:p>
    <w:p w:rsidR="00195B06" w:rsidRDefault="00195B06" w:rsidP="006C643A">
      <w:pPr>
        <w:ind w:left="709" w:hanging="709"/>
        <w:rPr>
          <w:i/>
          <w:lang w:val="en-US"/>
        </w:rPr>
      </w:pPr>
    </w:p>
    <w:p w:rsidR="00195B06" w:rsidRDefault="00195B06" w:rsidP="00B64C5E">
      <w:pPr>
        <w:ind w:left="709" w:hanging="709"/>
        <w:rPr>
          <w:i/>
          <w:lang w:val="en-GB"/>
        </w:rPr>
      </w:pPr>
      <w:r w:rsidRPr="006C643A">
        <w:rPr>
          <w:i/>
          <w:lang w:val="en-GB"/>
        </w:rPr>
        <w:t xml:space="preserve">Historical Violence Database (see: </w:t>
      </w:r>
      <w:hyperlink r:id="rId7" w:history="1">
        <w:r w:rsidRPr="004D2C46">
          <w:rPr>
            <w:rStyle w:val="Hiperhivatkozs"/>
            <w:i/>
            <w:lang w:val="en-GB"/>
          </w:rPr>
          <w:t>http://cjrc.osu.edu/research/interdisciplinary/hvd</w:t>
        </w:r>
      </w:hyperlink>
      <w:r w:rsidRPr="006C643A">
        <w:rPr>
          <w:i/>
          <w:lang w:val="en-GB"/>
        </w:rPr>
        <w:t>).</w:t>
      </w:r>
    </w:p>
    <w:p w:rsidR="00195B06" w:rsidRDefault="00195B06" w:rsidP="00B64C5E">
      <w:pPr>
        <w:ind w:left="709" w:hanging="709"/>
        <w:rPr>
          <w:i/>
          <w:lang w:val="en-GB"/>
        </w:rPr>
      </w:pPr>
    </w:p>
    <w:p w:rsidR="00195B06" w:rsidRDefault="00195B06" w:rsidP="00DE4262">
      <w:pPr>
        <w:ind w:left="709" w:hanging="709"/>
        <w:rPr>
          <w:i/>
          <w:lang w:val="en-GB"/>
        </w:rPr>
      </w:pPr>
      <w:r w:rsidRPr="00DE4262">
        <w:rPr>
          <w:i/>
          <w:lang w:val="en-GB"/>
        </w:rPr>
        <w:t>Lehti, M. (2013) NRILP Comparative Homicide Time Series (NRILP-CHTS), National Research Institute of Legal Policy, Research Brief32/2013, Helsinki.</w:t>
      </w:r>
    </w:p>
    <w:p w:rsidR="00195B06" w:rsidRDefault="00195B06" w:rsidP="00DE4262">
      <w:pPr>
        <w:ind w:left="709" w:hanging="709"/>
        <w:rPr>
          <w:i/>
          <w:lang w:val="en-GB"/>
        </w:rPr>
      </w:pPr>
    </w:p>
    <w:p w:rsidR="00195B06" w:rsidRDefault="00195B06" w:rsidP="00B64C5E">
      <w:pPr>
        <w:ind w:left="709" w:hanging="709"/>
        <w:rPr>
          <w:i/>
          <w:lang w:val="en-GB"/>
        </w:rPr>
      </w:pPr>
      <w:r w:rsidRPr="006C643A">
        <w:rPr>
          <w:i/>
          <w:lang w:val="en-GB"/>
        </w:rPr>
        <w:t xml:space="preserve">NRILP Comparative Homicide Time Series (version 25-10-2013), National Research Institute of Legal Policy, Helsinki (see: </w:t>
      </w:r>
      <w:hyperlink r:id="rId8" w:history="1">
        <w:r w:rsidRPr="004D2C46">
          <w:rPr>
            <w:rStyle w:val="Hiperhivatkozs"/>
            <w:i/>
            <w:lang w:val="en-GB"/>
          </w:rPr>
          <w:t>http://www.optula.om.fi/en/Etusivu/Julkaisut/1368802881488</w:t>
        </w:r>
      </w:hyperlink>
      <w:r w:rsidRPr="006C643A">
        <w:rPr>
          <w:i/>
          <w:lang w:val="en-GB"/>
        </w:rPr>
        <w:t>).</w:t>
      </w:r>
    </w:p>
    <w:p w:rsidR="00195B06" w:rsidRDefault="00195B06" w:rsidP="00B64C5E">
      <w:pPr>
        <w:ind w:left="709" w:hanging="709"/>
        <w:rPr>
          <w:i/>
          <w:lang w:val="en-GB"/>
        </w:rPr>
      </w:pPr>
    </w:p>
    <w:p w:rsidR="00195B06" w:rsidRDefault="00195B06" w:rsidP="00B64C5E">
      <w:pPr>
        <w:ind w:left="709" w:hanging="709"/>
        <w:rPr>
          <w:i/>
          <w:lang w:val="en-GB"/>
        </w:rPr>
      </w:pPr>
      <w:r w:rsidRPr="00FE13E5">
        <w:rPr>
          <w:i/>
          <w:lang w:val="en-GB"/>
        </w:rPr>
        <w:t xml:space="preserve">Statistics Bureau </w:t>
      </w:r>
      <w:r>
        <w:rPr>
          <w:i/>
          <w:lang w:val="en-GB"/>
        </w:rPr>
        <w:t>Japan (1988)</w:t>
      </w:r>
      <w:r w:rsidRPr="006C643A">
        <w:rPr>
          <w:i/>
          <w:lang w:val="en-GB"/>
        </w:rPr>
        <w:t>, Historical Stat</w:t>
      </w:r>
      <w:r>
        <w:rPr>
          <w:i/>
          <w:lang w:val="en-GB"/>
        </w:rPr>
        <w:t xml:space="preserve">istics of Japan, vol.1. 5., Tokyo: </w:t>
      </w:r>
      <w:r w:rsidRPr="00FE13E5">
        <w:rPr>
          <w:i/>
          <w:lang w:val="en-GB"/>
        </w:rPr>
        <w:t>Statistics Bureau</w:t>
      </w:r>
      <w:r w:rsidRPr="006C643A">
        <w:rPr>
          <w:i/>
          <w:lang w:val="en-GB"/>
        </w:rPr>
        <w:t>.</w:t>
      </w:r>
    </w:p>
    <w:p w:rsidR="00195B06" w:rsidRDefault="00195B06" w:rsidP="00B64C5E">
      <w:pPr>
        <w:ind w:left="709" w:hanging="709"/>
        <w:rPr>
          <w:i/>
          <w:lang w:val="en-GB"/>
        </w:rPr>
      </w:pPr>
    </w:p>
    <w:p w:rsidR="00195B06" w:rsidRPr="00DE4262" w:rsidRDefault="00195B06" w:rsidP="00B64C5E">
      <w:pPr>
        <w:ind w:left="709" w:hanging="709"/>
        <w:rPr>
          <w:i/>
          <w:lang w:val="en-GB"/>
        </w:rPr>
      </w:pPr>
      <w:r w:rsidRPr="00DE4262">
        <w:rPr>
          <w:i/>
          <w:lang w:val="en-GB"/>
        </w:rPr>
        <w:t>Tanner, R. (1970) Homicide in Uganda 1964, Teaneck</w:t>
      </w:r>
      <w:r>
        <w:rPr>
          <w:i/>
          <w:lang w:val="en-GB"/>
        </w:rPr>
        <w:t xml:space="preserve">: </w:t>
      </w:r>
      <w:r w:rsidRPr="00DE4262">
        <w:rPr>
          <w:i/>
          <w:lang w:val="en-GB"/>
        </w:rPr>
        <w:t>Holmes and Meier</w:t>
      </w:r>
      <w:r>
        <w:rPr>
          <w:i/>
          <w:lang w:val="en-GB"/>
        </w:rPr>
        <w:t>.</w:t>
      </w:r>
    </w:p>
    <w:p w:rsidR="00195B06" w:rsidRDefault="00195B06" w:rsidP="00FE13E5">
      <w:pPr>
        <w:pStyle w:val="Irodalomjegyzk"/>
        <w:rPr>
          <w:i/>
          <w:lang w:val="en-GB"/>
        </w:rPr>
      </w:pPr>
    </w:p>
    <w:p w:rsidR="00195B06" w:rsidRDefault="00195B06" w:rsidP="00FE13E5">
      <w:pPr>
        <w:pStyle w:val="Irodalomjegyzk"/>
        <w:rPr>
          <w:i/>
          <w:lang w:val="en-GB"/>
        </w:rPr>
      </w:pPr>
      <w:r w:rsidRPr="00FE13E5">
        <w:rPr>
          <w:i/>
          <w:lang w:val="en-GB"/>
        </w:rPr>
        <w:t xml:space="preserve">UN Statistics Division (1951) </w:t>
      </w:r>
      <w:r w:rsidRPr="00FE13E5">
        <w:rPr>
          <w:i/>
          <w:iCs/>
          <w:lang w:val="en-GB"/>
        </w:rPr>
        <w:t>Demographic Yearbook</w:t>
      </w:r>
      <w:r w:rsidRPr="00FE13E5">
        <w:rPr>
          <w:i/>
          <w:lang w:val="en-GB"/>
        </w:rPr>
        <w:t>. New York: United Nations.</w:t>
      </w:r>
    </w:p>
    <w:p w:rsidR="00195B06" w:rsidRDefault="00195B06" w:rsidP="00FE13E5">
      <w:pPr>
        <w:pStyle w:val="Irodalomjegyzk"/>
        <w:rPr>
          <w:i/>
          <w:lang w:val="en-GB"/>
        </w:rPr>
      </w:pPr>
    </w:p>
    <w:p w:rsidR="00195B06" w:rsidRPr="00FE13E5" w:rsidRDefault="00195B06" w:rsidP="00FE13E5">
      <w:pPr>
        <w:pStyle w:val="Irodalomjegyzk"/>
        <w:rPr>
          <w:i/>
          <w:lang w:val="en-GB"/>
        </w:rPr>
      </w:pPr>
      <w:r w:rsidRPr="00FE13E5">
        <w:rPr>
          <w:i/>
          <w:lang w:val="en-GB"/>
        </w:rPr>
        <w:t xml:space="preserve">UN Statistics Division </w:t>
      </w:r>
      <w:r>
        <w:rPr>
          <w:i/>
          <w:lang w:val="en-GB"/>
        </w:rPr>
        <w:t>(1955</w:t>
      </w:r>
      <w:r w:rsidRPr="00FE13E5">
        <w:rPr>
          <w:i/>
          <w:lang w:val="en-GB"/>
        </w:rPr>
        <w:t xml:space="preserve">) </w:t>
      </w:r>
      <w:r w:rsidRPr="00FE13E5">
        <w:rPr>
          <w:i/>
          <w:iCs/>
          <w:lang w:val="en-GB"/>
        </w:rPr>
        <w:t>Demographic Yearbook</w:t>
      </w:r>
      <w:r w:rsidRPr="00FE13E5">
        <w:rPr>
          <w:i/>
          <w:lang w:val="en-GB"/>
        </w:rPr>
        <w:t>. New York: United Nations.</w:t>
      </w:r>
    </w:p>
    <w:bookmarkEnd w:id="0"/>
    <w:p w:rsidR="00804DEB" w:rsidRPr="00804DEB" w:rsidRDefault="00804DEB" w:rsidP="00B64C5E">
      <w:pPr>
        <w:ind w:left="709" w:hanging="709"/>
        <w:rPr>
          <w:i/>
          <w:lang w:val="en-US"/>
        </w:rPr>
      </w:pPr>
    </w:p>
    <w:p w:rsidR="008274E7" w:rsidRDefault="008274E7" w:rsidP="008274E7">
      <w:pPr>
        <w:rPr>
          <w:lang w:val="en-US"/>
        </w:rPr>
      </w:pPr>
      <w:r>
        <w:rPr>
          <w:lang w:val="en-US"/>
        </w:rPr>
        <w:t>17. Text</w:t>
      </w:r>
    </w:p>
    <w:p w:rsidR="00331DB6" w:rsidRDefault="008274E7" w:rsidP="003132A6">
      <w:pPr>
        <w:rPr>
          <w:lang w:val="en-US"/>
        </w:rPr>
      </w:pPr>
      <w:r>
        <w:rPr>
          <w:lang w:val="en-US"/>
        </w:rPr>
        <w:t xml:space="preserve">This </w:t>
      </w:r>
      <w:r w:rsidR="00D90C18">
        <w:rPr>
          <w:lang w:val="en-US"/>
        </w:rPr>
        <w:t xml:space="preserve">data collection </w:t>
      </w:r>
      <w:r>
        <w:rPr>
          <w:lang w:val="en-US"/>
        </w:rPr>
        <w:t>was carried out within the framework of the CLI</w:t>
      </w:r>
      <w:r w:rsidR="00331DB6">
        <w:rPr>
          <w:lang w:val="en-US"/>
        </w:rPr>
        <w:t>O-INFRA project financed by the Netherlands Organisatio</w:t>
      </w:r>
      <w:r w:rsidR="00D90C18">
        <w:rPr>
          <w:lang w:val="en-US"/>
        </w:rPr>
        <w:t>n for Scientific Research (NWO).</w:t>
      </w:r>
    </w:p>
    <w:sectPr w:rsidR="00331DB6" w:rsidSect="007A56C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9E" w:rsidRDefault="00741B9E" w:rsidP="0075418F">
      <w:r>
        <w:separator/>
      </w:r>
    </w:p>
  </w:endnote>
  <w:endnote w:type="continuationSeparator" w:id="0">
    <w:p w:rsidR="00741B9E" w:rsidRDefault="00741B9E" w:rsidP="0075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068403"/>
      <w:docPartObj>
        <w:docPartGallery w:val="Page Numbers (Bottom of Page)"/>
        <w:docPartUnique/>
      </w:docPartObj>
    </w:sdtPr>
    <w:sdtEndPr/>
    <w:sdtContent>
      <w:p w:rsidR="00A53FCE" w:rsidRDefault="00A53FC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B9E">
          <w:rPr>
            <w:noProof/>
          </w:rPr>
          <w:t>1</w:t>
        </w:r>
        <w:r>
          <w:fldChar w:fldCharType="end"/>
        </w:r>
      </w:p>
    </w:sdtContent>
  </w:sdt>
  <w:p w:rsidR="00A53FCE" w:rsidRDefault="00A53F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9E" w:rsidRDefault="00741B9E" w:rsidP="0075418F">
      <w:r>
        <w:separator/>
      </w:r>
    </w:p>
  </w:footnote>
  <w:footnote w:type="continuationSeparator" w:id="0">
    <w:p w:rsidR="00741B9E" w:rsidRDefault="00741B9E" w:rsidP="0075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A9"/>
    <w:rsid w:val="0001485D"/>
    <w:rsid w:val="00072B3F"/>
    <w:rsid w:val="00073BA9"/>
    <w:rsid w:val="000C23CC"/>
    <w:rsid w:val="000E7A81"/>
    <w:rsid w:val="0018359E"/>
    <w:rsid w:val="00195B06"/>
    <w:rsid w:val="002004D8"/>
    <w:rsid w:val="0022249F"/>
    <w:rsid w:val="0027143C"/>
    <w:rsid w:val="002C765E"/>
    <w:rsid w:val="003132A6"/>
    <w:rsid w:val="00331DB6"/>
    <w:rsid w:val="00432EE6"/>
    <w:rsid w:val="0049543E"/>
    <w:rsid w:val="004C280F"/>
    <w:rsid w:val="004E371B"/>
    <w:rsid w:val="004F38BA"/>
    <w:rsid w:val="00527B3A"/>
    <w:rsid w:val="005D7DE0"/>
    <w:rsid w:val="006C643A"/>
    <w:rsid w:val="007045D1"/>
    <w:rsid w:val="00741B9E"/>
    <w:rsid w:val="00752376"/>
    <w:rsid w:val="0075418F"/>
    <w:rsid w:val="00780B6A"/>
    <w:rsid w:val="007A56C1"/>
    <w:rsid w:val="00804DEB"/>
    <w:rsid w:val="008274E7"/>
    <w:rsid w:val="008A4DC9"/>
    <w:rsid w:val="008B069A"/>
    <w:rsid w:val="008C2A88"/>
    <w:rsid w:val="008D7E0B"/>
    <w:rsid w:val="00953388"/>
    <w:rsid w:val="00A53FCE"/>
    <w:rsid w:val="00AA754B"/>
    <w:rsid w:val="00AE4E50"/>
    <w:rsid w:val="00AF16EC"/>
    <w:rsid w:val="00B04827"/>
    <w:rsid w:val="00B17D7A"/>
    <w:rsid w:val="00B53929"/>
    <w:rsid w:val="00B64C5E"/>
    <w:rsid w:val="00B65D0C"/>
    <w:rsid w:val="00BA2BA6"/>
    <w:rsid w:val="00BA77C4"/>
    <w:rsid w:val="00BC311F"/>
    <w:rsid w:val="00BD11A5"/>
    <w:rsid w:val="00C04629"/>
    <w:rsid w:val="00C16C16"/>
    <w:rsid w:val="00C35B1A"/>
    <w:rsid w:val="00C566C7"/>
    <w:rsid w:val="00C66743"/>
    <w:rsid w:val="00C809B2"/>
    <w:rsid w:val="00C96AD9"/>
    <w:rsid w:val="00CB59EE"/>
    <w:rsid w:val="00D90C18"/>
    <w:rsid w:val="00D943F7"/>
    <w:rsid w:val="00DE4262"/>
    <w:rsid w:val="00DF2464"/>
    <w:rsid w:val="00E3589C"/>
    <w:rsid w:val="00E42E4F"/>
    <w:rsid w:val="00E70353"/>
    <w:rsid w:val="00F42E54"/>
    <w:rsid w:val="00F445ED"/>
    <w:rsid w:val="00F71D52"/>
    <w:rsid w:val="00F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6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73BA9"/>
    <w:rPr>
      <w:color w:val="0000FF" w:themeColor="hyperlink"/>
      <w:u w:val="single"/>
    </w:rPr>
  </w:style>
  <w:style w:type="paragraph" w:customStyle="1" w:styleId="Default">
    <w:name w:val="Default"/>
    <w:rsid w:val="00E42E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046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46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46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46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46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46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629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274E7"/>
    <w:rPr>
      <w:color w:val="800080" w:themeColor="followedHyperlink"/>
      <w:u w:val="single"/>
    </w:rPr>
  </w:style>
  <w:style w:type="character" w:customStyle="1" w:styleId="field-content">
    <w:name w:val="field-content"/>
    <w:basedOn w:val="Bekezdsalapbettpusa"/>
    <w:rsid w:val="00804DEB"/>
  </w:style>
  <w:style w:type="paragraph" w:styleId="Irodalomjegyzk">
    <w:name w:val="Bibliography"/>
    <w:basedOn w:val="Norml"/>
    <w:next w:val="Norml"/>
    <w:uiPriority w:val="37"/>
    <w:semiHidden/>
    <w:unhideWhenUsed/>
    <w:rsid w:val="00FE13E5"/>
  </w:style>
  <w:style w:type="table" w:styleId="Rcsostblzat">
    <w:name w:val="Table Grid"/>
    <w:basedOn w:val="Normltblzat"/>
    <w:uiPriority w:val="59"/>
    <w:rsid w:val="0019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53F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FCE"/>
  </w:style>
  <w:style w:type="paragraph" w:styleId="llb">
    <w:name w:val="footer"/>
    <w:basedOn w:val="Norml"/>
    <w:link w:val="llbChar"/>
    <w:uiPriority w:val="99"/>
    <w:unhideWhenUsed/>
    <w:rsid w:val="00A53F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6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73BA9"/>
    <w:rPr>
      <w:color w:val="0000FF" w:themeColor="hyperlink"/>
      <w:u w:val="single"/>
    </w:rPr>
  </w:style>
  <w:style w:type="paragraph" w:customStyle="1" w:styleId="Default">
    <w:name w:val="Default"/>
    <w:rsid w:val="00E42E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046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46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46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46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46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46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629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274E7"/>
    <w:rPr>
      <w:color w:val="800080" w:themeColor="followedHyperlink"/>
      <w:u w:val="single"/>
    </w:rPr>
  </w:style>
  <w:style w:type="character" w:customStyle="1" w:styleId="field-content">
    <w:name w:val="field-content"/>
    <w:basedOn w:val="Bekezdsalapbettpusa"/>
    <w:rsid w:val="00804DEB"/>
  </w:style>
  <w:style w:type="paragraph" w:styleId="Irodalomjegyzk">
    <w:name w:val="Bibliography"/>
    <w:basedOn w:val="Norml"/>
    <w:next w:val="Norml"/>
    <w:uiPriority w:val="37"/>
    <w:semiHidden/>
    <w:unhideWhenUsed/>
    <w:rsid w:val="00FE13E5"/>
  </w:style>
  <w:style w:type="table" w:styleId="Rcsostblzat">
    <w:name w:val="Table Grid"/>
    <w:basedOn w:val="Normltblzat"/>
    <w:uiPriority w:val="59"/>
    <w:rsid w:val="0019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53F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3FCE"/>
  </w:style>
  <w:style w:type="paragraph" w:styleId="llb">
    <w:name w:val="footer"/>
    <w:basedOn w:val="Norml"/>
    <w:link w:val="llbChar"/>
    <w:uiPriority w:val="99"/>
    <w:unhideWhenUsed/>
    <w:rsid w:val="00A53F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ula.om.fi/en/Etusivu/Julkaisut/13688028814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jrc.osu.edu/research/interdisciplinary/hv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3228</Characters>
  <Application>Microsoft Office Word</Application>
  <DocSecurity>0</DocSecurity>
  <Lines>26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IISG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IISG-User</dc:creator>
  <cp:lastModifiedBy>Peti</cp:lastModifiedBy>
  <cp:revision>2</cp:revision>
  <cp:lastPrinted>2012-04-10T10:31:00Z</cp:lastPrinted>
  <dcterms:created xsi:type="dcterms:W3CDTF">2014-07-17T14:54:00Z</dcterms:created>
  <dcterms:modified xsi:type="dcterms:W3CDTF">2014-07-17T14:54:00Z</dcterms:modified>
</cp:coreProperties>
</file>