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B013E" w14:textId="77777777" w:rsidR="00046231" w:rsidRPr="0072314F" w:rsidRDefault="0072314F" w:rsidP="0072314F">
      <w:pPr>
        <w:pStyle w:val="Titre"/>
        <w:rPr>
          <w:rFonts w:ascii="Arial" w:hAnsi="Arial" w:cs="Arial"/>
        </w:rPr>
      </w:pPr>
      <w:r w:rsidRPr="0072314F">
        <w:rPr>
          <w:rFonts w:ascii="Arial" w:hAnsi="Arial" w:cs="Arial"/>
        </w:rPr>
        <w:t>UK Sources and Methods</w:t>
      </w:r>
      <w:bookmarkStart w:id="0" w:name="_GoBack"/>
      <w:bookmarkEnd w:id="0"/>
    </w:p>
    <w:p w14:paraId="2C2B52FC" w14:textId="77777777" w:rsidR="00B233B1" w:rsidRPr="0072314F" w:rsidRDefault="00B233B1">
      <w:pPr>
        <w:pBdr>
          <w:bottom w:val="single" w:sz="6" w:space="1" w:color="auto"/>
        </w:pBdr>
        <w:rPr>
          <w:rFonts w:ascii="Arial" w:hAnsi="Arial" w:cs="Arial"/>
          <w:sz w:val="28"/>
        </w:rPr>
      </w:pPr>
    </w:p>
    <w:p w14:paraId="151B4E83" w14:textId="77777777" w:rsidR="00046231" w:rsidRPr="0072314F" w:rsidRDefault="00046231">
      <w:pPr>
        <w:pBdr>
          <w:bottom w:val="single" w:sz="6" w:space="1" w:color="auto"/>
        </w:pBdr>
        <w:rPr>
          <w:rFonts w:ascii="Arial" w:hAnsi="Arial" w:cs="Arial"/>
          <w:sz w:val="28"/>
        </w:rPr>
      </w:pPr>
      <w:r w:rsidRPr="0072314F">
        <w:rPr>
          <w:rFonts w:ascii="Arial" w:hAnsi="Arial" w:cs="Arial"/>
          <w:sz w:val="28"/>
        </w:rPr>
        <w:t>3 July 2013</w:t>
      </w:r>
      <w:r w:rsidR="00C6779F" w:rsidRPr="0072314F">
        <w:rPr>
          <w:rFonts w:ascii="Arial" w:hAnsi="Arial" w:cs="Arial"/>
          <w:sz w:val="28"/>
        </w:rPr>
        <w:t xml:space="preserve"> – Philip</w:t>
      </w:r>
      <w:r w:rsidR="00A3524E" w:rsidRPr="0072314F">
        <w:rPr>
          <w:rFonts w:ascii="Arial" w:hAnsi="Arial" w:cs="Arial"/>
          <w:sz w:val="28"/>
        </w:rPr>
        <w:t>p</w:t>
      </w:r>
      <w:r w:rsidR="00C6779F" w:rsidRPr="0072314F">
        <w:rPr>
          <w:rFonts w:ascii="Arial" w:hAnsi="Arial" w:cs="Arial"/>
          <w:sz w:val="28"/>
        </w:rPr>
        <w:t xml:space="preserve"> Kern, Gerhard </w:t>
      </w:r>
      <w:proofErr w:type="spellStart"/>
      <w:r w:rsidR="00C6779F" w:rsidRPr="0072314F">
        <w:rPr>
          <w:rFonts w:ascii="Arial" w:hAnsi="Arial" w:cs="Arial"/>
          <w:sz w:val="28"/>
        </w:rPr>
        <w:t>Schnyder</w:t>
      </w:r>
      <w:proofErr w:type="spellEnd"/>
      <w:r w:rsidR="00C6779F" w:rsidRPr="0072314F">
        <w:rPr>
          <w:rFonts w:ascii="Arial" w:hAnsi="Arial" w:cs="Arial"/>
          <w:sz w:val="28"/>
        </w:rPr>
        <w:t>, John F. Wilson</w:t>
      </w:r>
    </w:p>
    <w:p w14:paraId="539FBD92" w14:textId="77777777" w:rsidR="00B233B1" w:rsidRPr="00604E04" w:rsidRDefault="00B233B1">
      <w:pPr>
        <w:pBdr>
          <w:bottom w:val="single" w:sz="6" w:space="1" w:color="auto"/>
        </w:pBdr>
        <w:rPr>
          <w:rFonts w:ascii="Arial Narrow" w:hAnsi="Arial Narrow" w:cs="Times New Roman"/>
          <w:sz w:val="28"/>
        </w:rPr>
      </w:pPr>
    </w:p>
    <w:p w14:paraId="32387CE8" w14:textId="77777777" w:rsidR="00C6779F" w:rsidRPr="00604E04" w:rsidRDefault="00C6779F">
      <w:pPr>
        <w:rPr>
          <w:rFonts w:ascii="Arial Narrow" w:hAnsi="Arial Narrow" w:cs="Times New Roman"/>
        </w:rPr>
      </w:pPr>
    </w:p>
    <w:p w14:paraId="3C1C9537" w14:textId="77777777" w:rsidR="00655DEF" w:rsidRPr="0072314F" w:rsidRDefault="00655DEF" w:rsidP="0072314F">
      <w:pPr>
        <w:jc w:val="both"/>
        <w:rPr>
          <w:rFonts w:ascii="Arial" w:hAnsi="Arial" w:cs="Arial"/>
          <w:b/>
        </w:rPr>
      </w:pPr>
      <w:r w:rsidRPr="0072314F">
        <w:rPr>
          <w:rFonts w:ascii="Arial" w:hAnsi="Arial" w:cs="Arial"/>
          <w:b/>
        </w:rPr>
        <w:t>Firm samples</w:t>
      </w:r>
    </w:p>
    <w:p w14:paraId="2F953D04" w14:textId="77777777" w:rsidR="00604E04" w:rsidRPr="0072314F" w:rsidRDefault="00604E04" w:rsidP="0072314F">
      <w:pPr>
        <w:jc w:val="both"/>
        <w:rPr>
          <w:rFonts w:ascii="Arial" w:hAnsi="Arial" w:cs="Arial"/>
          <w:u w:val="single"/>
        </w:rPr>
      </w:pPr>
    </w:p>
    <w:p w14:paraId="0B529AB9" w14:textId="77777777" w:rsidR="00592257" w:rsidRPr="0072314F" w:rsidRDefault="00592257" w:rsidP="0072314F">
      <w:pPr>
        <w:jc w:val="both"/>
        <w:rPr>
          <w:rFonts w:ascii="Arial" w:hAnsi="Arial" w:cs="Arial"/>
        </w:rPr>
      </w:pPr>
      <w:r w:rsidRPr="0072314F">
        <w:rPr>
          <w:rFonts w:ascii="Arial" w:hAnsi="Arial" w:cs="Arial"/>
          <w:u w:val="single"/>
        </w:rPr>
        <w:t>The 1904</w:t>
      </w:r>
      <w:r w:rsidR="00A3524E" w:rsidRPr="0072314F">
        <w:rPr>
          <w:rFonts w:ascii="Arial" w:hAnsi="Arial" w:cs="Arial"/>
          <w:u w:val="single"/>
        </w:rPr>
        <w:t xml:space="preserve"> and</w:t>
      </w:r>
      <w:r w:rsidRPr="0072314F">
        <w:rPr>
          <w:rFonts w:ascii="Arial" w:hAnsi="Arial" w:cs="Arial"/>
          <w:u w:val="single"/>
        </w:rPr>
        <w:t xml:space="preserve"> 1938</w:t>
      </w:r>
      <w:r w:rsidRPr="0072314F">
        <w:rPr>
          <w:rFonts w:ascii="Arial" w:hAnsi="Arial" w:cs="Arial"/>
        </w:rPr>
        <w:t xml:space="preserve"> benchmark years are from Scott/</w:t>
      </w:r>
      <w:proofErr w:type="spellStart"/>
      <w:r w:rsidRPr="0072314F">
        <w:rPr>
          <w:rFonts w:ascii="Arial" w:hAnsi="Arial" w:cs="Arial"/>
        </w:rPr>
        <w:t>Windolf</w:t>
      </w:r>
      <w:proofErr w:type="spellEnd"/>
      <w:r w:rsidR="00A3524E" w:rsidRPr="0072314F">
        <w:rPr>
          <w:rFonts w:ascii="Arial" w:hAnsi="Arial" w:cs="Arial"/>
        </w:rPr>
        <w:t>; 1976 is from</w:t>
      </w:r>
      <w:r w:rsidRPr="0072314F">
        <w:rPr>
          <w:rFonts w:ascii="Arial" w:hAnsi="Arial" w:cs="Arial"/>
        </w:rPr>
        <w:t xml:space="preserve"> Stockman</w:t>
      </w:r>
      <w:r w:rsidR="00A3524E" w:rsidRPr="0072314F">
        <w:rPr>
          <w:rFonts w:ascii="Arial" w:hAnsi="Arial" w:cs="Arial"/>
        </w:rPr>
        <w:t>.</w:t>
      </w:r>
      <w:r w:rsidRPr="0072314F">
        <w:rPr>
          <w:rFonts w:ascii="Arial" w:hAnsi="Arial" w:cs="Arial"/>
        </w:rPr>
        <w:t xml:space="preserve"> </w:t>
      </w:r>
      <w:r w:rsidR="00A3524E" w:rsidRPr="0072314F">
        <w:rPr>
          <w:rFonts w:ascii="Arial" w:hAnsi="Arial" w:cs="Arial"/>
        </w:rPr>
        <w:t xml:space="preserve">Data for all three years has </w:t>
      </w:r>
      <w:r w:rsidRPr="0072314F">
        <w:rPr>
          <w:rFonts w:ascii="Arial" w:hAnsi="Arial" w:cs="Arial"/>
        </w:rPr>
        <w:t xml:space="preserve">been used unaltered. The 1997 and 2000 data is from </w:t>
      </w:r>
      <w:proofErr w:type="spellStart"/>
      <w:r w:rsidRPr="0072314F">
        <w:rPr>
          <w:rFonts w:ascii="Arial" w:hAnsi="Arial" w:cs="Arial"/>
        </w:rPr>
        <w:t>Conyon</w:t>
      </w:r>
      <w:proofErr w:type="spellEnd"/>
      <w:r w:rsidRPr="0072314F">
        <w:rPr>
          <w:rFonts w:ascii="Arial" w:hAnsi="Arial" w:cs="Arial"/>
        </w:rPr>
        <w:t xml:space="preserve"> and </w:t>
      </w:r>
      <w:r w:rsidR="00924975" w:rsidRPr="0072314F">
        <w:rPr>
          <w:rFonts w:ascii="Arial" w:hAnsi="Arial" w:cs="Arial"/>
        </w:rPr>
        <w:t>encompasses over 2100 firms ranked by</w:t>
      </w:r>
      <w:r w:rsidRPr="0072314F">
        <w:rPr>
          <w:rFonts w:ascii="Arial" w:hAnsi="Arial" w:cs="Arial"/>
        </w:rPr>
        <w:t xml:space="preserve"> market capitalisation. </w:t>
      </w:r>
      <w:r w:rsidR="00924975" w:rsidRPr="0072314F">
        <w:rPr>
          <w:rFonts w:ascii="Arial" w:hAnsi="Arial" w:cs="Arial"/>
        </w:rPr>
        <w:t xml:space="preserve">As </w:t>
      </w:r>
      <w:proofErr w:type="spellStart"/>
      <w:r w:rsidR="00924975" w:rsidRPr="0072314F">
        <w:rPr>
          <w:rFonts w:ascii="Arial" w:hAnsi="Arial" w:cs="Arial"/>
        </w:rPr>
        <w:t>Conyon’s</w:t>
      </w:r>
      <w:proofErr w:type="spellEnd"/>
      <w:r w:rsidR="00924975" w:rsidRPr="0072314F">
        <w:rPr>
          <w:rFonts w:ascii="Arial" w:hAnsi="Arial" w:cs="Arial"/>
        </w:rPr>
        <w:t xml:space="preserve"> dataset does not include </w:t>
      </w:r>
      <w:r w:rsidR="004F33EE" w:rsidRPr="0072314F">
        <w:rPr>
          <w:rFonts w:ascii="Arial" w:hAnsi="Arial" w:cs="Arial"/>
        </w:rPr>
        <w:t xml:space="preserve">information on total assets, </w:t>
      </w:r>
      <w:r w:rsidRPr="0072314F">
        <w:rPr>
          <w:rFonts w:ascii="Arial" w:hAnsi="Arial" w:cs="Arial"/>
        </w:rPr>
        <w:t xml:space="preserve">a list of the largest 250 companies by total (net) assets was </w:t>
      </w:r>
      <w:r w:rsidR="004F33EE" w:rsidRPr="0072314F">
        <w:rPr>
          <w:rFonts w:ascii="Arial" w:hAnsi="Arial" w:cs="Arial"/>
        </w:rPr>
        <w:t xml:space="preserve">retrieved from Thomson One </w:t>
      </w:r>
      <w:r w:rsidRPr="0072314F">
        <w:rPr>
          <w:rFonts w:ascii="Arial" w:hAnsi="Arial" w:cs="Arial"/>
        </w:rPr>
        <w:t xml:space="preserve">and the corresponding firms </w:t>
      </w:r>
      <w:r w:rsidR="004F33EE" w:rsidRPr="0072314F">
        <w:rPr>
          <w:rFonts w:ascii="Arial" w:hAnsi="Arial" w:cs="Arial"/>
        </w:rPr>
        <w:t xml:space="preserve">subsequently </w:t>
      </w:r>
      <w:r w:rsidRPr="0072314F">
        <w:rPr>
          <w:rFonts w:ascii="Arial" w:hAnsi="Arial" w:cs="Arial"/>
        </w:rPr>
        <w:t xml:space="preserve">extracted from the </w:t>
      </w:r>
      <w:proofErr w:type="spellStart"/>
      <w:r w:rsidRPr="0072314F">
        <w:rPr>
          <w:rFonts w:ascii="Arial" w:hAnsi="Arial" w:cs="Arial"/>
        </w:rPr>
        <w:t>Conyon</w:t>
      </w:r>
      <w:proofErr w:type="spellEnd"/>
      <w:r w:rsidRPr="0072314F">
        <w:rPr>
          <w:rFonts w:ascii="Arial" w:hAnsi="Arial" w:cs="Arial"/>
        </w:rPr>
        <w:t xml:space="preserve"> dataset.</w:t>
      </w:r>
    </w:p>
    <w:p w14:paraId="7B065DA1" w14:textId="77777777" w:rsidR="004F33EE" w:rsidRPr="0072314F" w:rsidRDefault="004F33EE" w:rsidP="0072314F">
      <w:pPr>
        <w:jc w:val="both"/>
        <w:rPr>
          <w:rFonts w:ascii="Arial" w:hAnsi="Arial" w:cs="Arial"/>
        </w:rPr>
      </w:pPr>
    </w:p>
    <w:p w14:paraId="3E42F30F" w14:textId="77777777" w:rsidR="00592257" w:rsidRPr="0072314F" w:rsidRDefault="00592257" w:rsidP="0072314F">
      <w:pPr>
        <w:jc w:val="both"/>
        <w:rPr>
          <w:rFonts w:ascii="Arial" w:hAnsi="Arial" w:cs="Arial"/>
        </w:rPr>
      </w:pPr>
      <w:r w:rsidRPr="0072314F">
        <w:rPr>
          <w:rFonts w:ascii="Arial" w:hAnsi="Arial" w:cs="Arial"/>
        </w:rPr>
        <w:t>For the remaining years, we created the sample from scratch using various sources:</w:t>
      </w:r>
    </w:p>
    <w:p w14:paraId="29734CCF" w14:textId="77777777" w:rsidR="00592257" w:rsidRPr="0072314F" w:rsidRDefault="00592257" w:rsidP="0072314F">
      <w:pPr>
        <w:jc w:val="both"/>
        <w:rPr>
          <w:rFonts w:ascii="Arial" w:hAnsi="Arial" w:cs="Arial"/>
        </w:rPr>
      </w:pPr>
    </w:p>
    <w:p w14:paraId="47566A2E" w14:textId="77777777" w:rsidR="00B668A9" w:rsidRPr="0072314F" w:rsidRDefault="00B668A9" w:rsidP="0072314F">
      <w:pPr>
        <w:jc w:val="both"/>
        <w:rPr>
          <w:rFonts w:ascii="Arial" w:hAnsi="Arial" w:cs="Arial"/>
        </w:rPr>
      </w:pPr>
      <w:r w:rsidRPr="0072314F">
        <w:rPr>
          <w:rFonts w:ascii="Arial" w:hAnsi="Arial" w:cs="Arial"/>
          <w:u w:val="single"/>
        </w:rPr>
        <w:t xml:space="preserve">The </w:t>
      </w:r>
      <w:r w:rsidR="00E30BC2" w:rsidRPr="0072314F">
        <w:rPr>
          <w:rFonts w:ascii="Arial" w:hAnsi="Arial" w:cs="Arial"/>
          <w:u w:val="single"/>
        </w:rPr>
        <w:t>1958</w:t>
      </w:r>
      <w:r w:rsidRPr="0072314F">
        <w:rPr>
          <w:rFonts w:ascii="Arial" w:hAnsi="Arial" w:cs="Arial"/>
        </w:rPr>
        <w:t xml:space="preserve"> firm sample presented significant challenges. </w:t>
      </w:r>
      <w:r w:rsidR="00F76971" w:rsidRPr="0072314F">
        <w:rPr>
          <w:rFonts w:ascii="Arial" w:hAnsi="Arial" w:cs="Arial"/>
        </w:rPr>
        <w:t>A</w:t>
      </w:r>
      <w:r w:rsidRPr="0072314F">
        <w:rPr>
          <w:rFonts w:ascii="Arial" w:hAnsi="Arial" w:cs="Arial"/>
        </w:rPr>
        <w:t xml:space="preserve"> source listing all 250 (or more) firms required</w:t>
      </w:r>
      <w:r w:rsidR="00F76971" w:rsidRPr="0072314F">
        <w:rPr>
          <w:rFonts w:ascii="Arial" w:hAnsi="Arial" w:cs="Arial"/>
        </w:rPr>
        <w:t xml:space="preserve"> could not be located</w:t>
      </w:r>
      <w:r w:rsidR="00662080" w:rsidRPr="0072314F">
        <w:rPr>
          <w:rFonts w:ascii="Arial" w:hAnsi="Arial" w:cs="Arial"/>
        </w:rPr>
        <w:t>. Therefore</w:t>
      </w:r>
      <w:r w:rsidRPr="0072314F">
        <w:rPr>
          <w:rFonts w:ascii="Arial" w:hAnsi="Arial" w:cs="Arial"/>
        </w:rPr>
        <w:t xml:space="preserve">, </w:t>
      </w:r>
      <w:r w:rsidR="00F76971" w:rsidRPr="0072314F">
        <w:rPr>
          <w:rFonts w:ascii="Arial" w:hAnsi="Arial" w:cs="Arial"/>
        </w:rPr>
        <w:t xml:space="preserve">the </w:t>
      </w:r>
      <w:r w:rsidRPr="0072314F">
        <w:rPr>
          <w:rFonts w:ascii="Arial" w:hAnsi="Arial" w:cs="Arial"/>
        </w:rPr>
        <w:t xml:space="preserve">sample </w:t>
      </w:r>
      <w:r w:rsidR="00F76971" w:rsidRPr="0072314F">
        <w:rPr>
          <w:rFonts w:ascii="Arial" w:hAnsi="Arial" w:cs="Arial"/>
        </w:rPr>
        <w:t xml:space="preserve">was compiled </w:t>
      </w:r>
      <w:r w:rsidRPr="0072314F">
        <w:rPr>
          <w:rFonts w:ascii="Arial" w:hAnsi="Arial" w:cs="Arial"/>
        </w:rPr>
        <w:t>from multiple lists with often overlapping firms. To minimize the overlap, two sources employing different metrics were used:</w:t>
      </w:r>
    </w:p>
    <w:p w14:paraId="59343D67" w14:textId="77777777" w:rsidR="00B668A9" w:rsidRPr="0072314F" w:rsidRDefault="00B668A9" w:rsidP="0072314F">
      <w:pPr>
        <w:jc w:val="both"/>
        <w:rPr>
          <w:rFonts w:ascii="Arial" w:hAnsi="Arial" w:cs="Arial"/>
        </w:rPr>
      </w:pPr>
    </w:p>
    <w:p w14:paraId="44247854" w14:textId="77777777" w:rsidR="00B668A9" w:rsidRPr="0072314F" w:rsidRDefault="00B668A9" w:rsidP="0072314F">
      <w:pPr>
        <w:pStyle w:val="Paragraphedeliste"/>
        <w:numPr>
          <w:ilvl w:val="0"/>
          <w:numId w:val="1"/>
        </w:numPr>
        <w:jc w:val="both"/>
        <w:rPr>
          <w:rFonts w:ascii="Arial" w:hAnsi="Arial" w:cs="Arial"/>
        </w:rPr>
      </w:pPr>
      <w:r w:rsidRPr="0072314F">
        <w:rPr>
          <w:rFonts w:ascii="Arial" w:hAnsi="Arial" w:cs="Arial"/>
        </w:rPr>
        <w:t>National Institute for Economic and Social Research (1955): “A Classified List of Large Companies Engaged in British Industry.”</w:t>
      </w:r>
    </w:p>
    <w:p w14:paraId="4628F52C" w14:textId="77777777" w:rsidR="00B668A9" w:rsidRPr="0072314F" w:rsidRDefault="00B668A9" w:rsidP="0072314F">
      <w:pPr>
        <w:pStyle w:val="Paragraphedeliste"/>
        <w:numPr>
          <w:ilvl w:val="0"/>
          <w:numId w:val="1"/>
        </w:numPr>
        <w:jc w:val="both"/>
        <w:rPr>
          <w:rFonts w:ascii="Arial" w:hAnsi="Arial" w:cs="Arial"/>
        </w:rPr>
      </w:pPr>
      <w:r w:rsidRPr="0072314F">
        <w:rPr>
          <w:rFonts w:ascii="Arial" w:hAnsi="Arial" w:cs="Arial"/>
        </w:rPr>
        <w:t>Fiedler</w:t>
      </w:r>
      <w:r w:rsidR="004F33EE" w:rsidRPr="0072314F">
        <w:rPr>
          <w:rFonts w:ascii="Arial" w:hAnsi="Arial" w:cs="Arial"/>
        </w:rPr>
        <w:t>, M.</w:t>
      </w:r>
      <w:r w:rsidRPr="0072314F">
        <w:rPr>
          <w:rFonts w:ascii="Arial" w:hAnsi="Arial" w:cs="Arial"/>
        </w:rPr>
        <w:t xml:space="preserve"> and Gospel</w:t>
      </w:r>
      <w:r w:rsidR="004F33EE" w:rsidRPr="0072314F">
        <w:rPr>
          <w:rFonts w:ascii="Arial" w:hAnsi="Arial" w:cs="Arial"/>
        </w:rPr>
        <w:t>, H. (2010)</w:t>
      </w:r>
      <w:r w:rsidRPr="0072314F">
        <w:rPr>
          <w:rFonts w:ascii="Arial" w:hAnsi="Arial" w:cs="Arial"/>
        </w:rPr>
        <w:t>: “The Top 100 Largest Employers in UK and Germany in the Twentieth Century,” Cologne Economic History Paper.</w:t>
      </w:r>
    </w:p>
    <w:p w14:paraId="2C527DD7" w14:textId="77777777" w:rsidR="00B668A9" w:rsidRPr="0072314F" w:rsidRDefault="00B668A9" w:rsidP="0072314F">
      <w:pPr>
        <w:jc w:val="both"/>
        <w:rPr>
          <w:rFonts w:ascii="Arial" w:hAnsi="Arial" w:cs="Arial"/>
        </w:rPr>
      </w:pPr>
    </w:p>
    <w:p w14:paraId="73B2674F" w14:textId="77777777" w:rsidR="004919A1" w:rsidRPr="0072314F" w:rsidRDefault="00B668A9" w:rsidP="0072314F">
      <w:pPr>
        <w:jc w:val="both"/>
        <w:rPr>
          <w:rFonts w:ascii="Arial" w:hAnsi="Arial" w:cs="Arial"/>
        </w:rPr>
      </w:pPr>
      <w:r w:rsidRPr="0072314F">
        <w:rPr>
          <w:rFonts w:ascii="Arial" w:hAnsi="Arial" w:cs="Arial"/>
        </w:rPr>
        <w:t>The NIESR list includes the 100 largest listed and unlisted British companies by net assets in 1953/54. Fiedler &amp; Gospel list the 100 largest firms by employment. Accounting for overlaps, the two sources yielded 149 unique non-financial firms for 1958.</w:t>
      </w:r>
      <w:r w:rsidR="000D7962" w:rsidRPr="0072314F">
        <w:rPr>
          <w:rFonts w:ascii="Arial" w:hAnsi="Arial" w:cs="Arial"/>
        </w:rPr>
        <w:t xml:space="preserve"> Without other lists for the mid-50s available, there was no straightforward way to increase the sample size to 200</w:t>
      </w:r>
      <w:r w:rsidR="00712825" w:rsidRPr="0072314F">
        <w:rPr>
          <w:rFonts w:ascii="Arial" w:hAnsi="Arial" w:cs="Arial"/>
        </w:rPr>
        <w:t xml:space="preserve"> firms</w:t>
      </w:r>
      <w:r w:rsidR="000D7962" w:rsidRPr="0072314F">
        <w:rPr>
          <w:rFonts w:ascii="Arial" w:hAnsi="Arial" w:cs="Arial"/>
        </w:rPr>
        <w:t xml:space="preserve">. </w:t>
      </w:r>
      <w:r w:rsidR="00D9714E" w:rsidRPr="0072314F">
        <w:rPr>
          <w:rFonts w:ascii="Arial" w:hAnsi="Arial" w:cs="Arial"/>
        </w:rPr>
        <w:t xml:space="preserve">We considered </w:t>
      </w:r>
      <w:r w:rsidR="004F33EE" w:rsidRPr="0072314F">
        <w:rPr>
          <w:rFonts w:ascii="Arial" w:hAnsi="Arial" w:cs="Arial"/>
        </w:rPr>
        <w:t>completing the sample</w:t>
      </w:r>
      <w:r w:rsidR="000D7962" w:rsidRPr="0072314F">
        <w:rPr>
          <w:rFonts w:ascii="Arial" w:hAnsi="Arial" w:cs="Arial"/>
        </w:rPr>
        <w:t xml:space="preserve"> by manually </w:t>
      </w:r>
      <w:r w:rsidR="004F33EE" w:rsidRPr="0072314F">
        <w:rPr>
          <w:rFonts w:ascii="Arial" w:hAnsi="Arial" w:cs="Arial"/>
        </w:rPr>
        <w:t>searching</w:t>
      </w:r>
      <w:r w:rsidR="000D7962" w:rsidRPr="0072314F">
        <w:rPr>
          <w:rFonts w:ascii="Arial" w:hAnsi="Arial" w:cs="Arial"/>
        </w:rPr>
        <w:t xml:space="preserve"> The Stock Exchange Official </w:t>
      </w:r>
      <w:proofErr w:type="gramStart"/>
      <w:r w:rsidR="000D7962" w:rsidRPr="0072314F">
        <w:rPr>
          <w:rFonts w:ascii="Arial" w:hAnsi="Arial" w:cs="Arial"/>
        </w:rPr>
        <w:t>Year-Book</w:t>
      </w:r>
      <w:proofErr w:type="gramEnd"/>
      <w:r w:rsidR="00D9714E" w:rsidRPr="0072314F">
        <w:rPr>
          <w:rFonts w:ascii="Arial" w:hAnsi="Arial" w:cs="Arial"/>
        </w:rPr>
        <w:t xml:space="preserve"> </w:t>
      </w:r>
      <w:r w:rsidR="00F76971" w:rsidRPr="0072314F">
        <w:rPr>
          <w:rFonts w:ascii="Arial" w:hAnsi="Arial" w:cs="Arial"/>
        </w:rPr>
        <w:t>(</w:t>
      </w:r>
      <w:proofErr w:type="spellStart"/>
      <w:r w:rsidR="00F76971" w:rsidRPr="0072314F">
        <w:rPr>
          <w:rFonts w:ascii="Arial" w:hAnsi="Arial" w:cs="Arial"/>
        </w:rPr>
        <w:t>StExYB</w:t>
      </w:r>
      <w:proofErr w:type="spellEnd"/>
      <w:r w:rsidR="00F76971" w:rsidRPr="0072314F">
        <w:rPr>
          <w:rFonts w:ascii="Arial" w:hAnsi="Arial" w:cs="Arial"/>
        </w:rPr>
        <w:t xml:space="preserve">) 1960, which </w:t>
      </w:r>
      <w:r w:rsidR="004F33EE" w:rsidRPr="0072314F">
        <w:rPr>
          <w:rFonts w:ascii="Arial" w:hAnsi="Arial" w:cs="Arial"/>
        </w:rPr>
        <w:t xml:space="preserve">incorporates </w:t>
      </w:r>
      <w:r w:rsidR="00F76971" w:rsidRPr="0072314F">
        <w:rPr>
          <w:rFonts w:ascii="Arial" w:hAnsi="Arial" w:cs="Arial"/>
        </w:rPr>
        <w:t>data for 1958</w:t>
      </w:r>
      <w:r w:rsidR="00712825" w:rsidRPr="0072314F">
        <w:rPr>
          <w:rFonts w:ascii="Arial" w:hAnsi="Arial" w:cs="Arial"/>
        </w:rPr>
        <w:t xml:space="preserve">. However, this </w:t>
      </w:r>
      <w:r w:rsidR="00D955B6" w:rsidRPr="0072314F">
        <w:rPr>
          <w:rFonts w:ascii="Arial" w:hAnsi="Arial" w:cs="Arial"/>
        </w:rPr>
        <w:t xml:space="preserve">proved </w:t>
      </w:r>
      <w:r w:rsidR="00712825" w:rsidRPr="0072314F">
        <w:rPr>
          <w:rFonts w:ascii="Arial" w:hAnsi="Arial" w:cs="Arial"/>
        </w:rPr>
        <w:t>prohibitively time-consuming</w:t>
      </w:r>
      <w:r w:rsidR="004F33EE" w:rsidRPr="0072314F">
        <w:rPr>
          <w:rFonts w:ascii="Arial" w:hAnsi="Arial" w:cs="Arial"/>
        </w:rPr>
        <w:t>,</w:t>
      </w:r>
      <w:r w:rsidR="00712825" w:rsidRPr="0072314F">
        <w:rPr>
          <w:rFonts w:ascii="Arial" w:hAnsi="Arial" w:cs="Arial"/>
        </w:rPr>
        <w:t xml:space="preserve"> </w:t>
      </w:r>
      <w:r w:rsidR="004F33EE" w:rsidRPr="0072314F">
        <w:rPr>
          <w:rFonts w:ascii="Arial" w:hAnsi="Arial" w:cs="Arial"/>
        </w:rPr>
        <w:t xml:space="preserve">as the thousands of firms included in the </w:t>
      </w:r>
      <w:proofErr w:type="spellStart"/>
      <w:r w:rsidR="004F33EE" w:rsidRPr="0072314F">
        <w:rPr>
          <w:rFonts w:ascii="Arial" w:hAnsi="Arial" w:cs="Arial"/>
        </w:rPr>
        <w:t>StExYB</w:t>
      </w:r>
      <w:proofErr w:type="spellEnd"/>
      <w:r w:rsidR="004F33EE" w:rsidRPr="0072314F">
        <w:rPr>
          <w:rFonts w:ascii="Arial" w:hAnsi="Arial" w:cs="Arial"/>
        </w:rPr>
        <w:t xml:space="preserve"> are not listed by size, making it impossible to easily identify</w:t>
      </w:r>
      <w:r w:rsidR="00712825" w:rsidRPr="0072314F">
        <w:rPr>
          <w:rFonts w:ascii="Arial" w:hAnsi="Arial" w:cs="Arial"/>
        </w:rPr>
        <w:t xml:space="preserve"> the next largest</w:t>
      </w:r>
      <w:r w:rsidR="004F33EE" w:rsidRPr="0072314F">
        <w:rPr>
          <w:rFonts w:ascii="Arial" w:hAnsi="Arial" w:cs="Arial"/>
        </w:rPr>
        <w:t xml:space="preserve"> companies</w:t>
      </w:r>
      <w:r w:rsidR="00712825" w:rsidRPr="0072314F">
        <w:rPr>
          <w:rFonts w:ascii="Arial" w:hAnsi="Arial" w:cs="Arial"/>
        </w:rPr>
        <w:t>, i.e</w:t>
      </w:r>
      <w:r w:rsidR="008A2F27" w:rsidRPr="0072314F">
        <w:rPr>
          <w:rFonts w:ascii="Arial" w:hAnsi="Arial" w:cs="Arial"/>
        </w:rPr>
        <w:t>.</w:t>
      </w:r>
      <w:r w:rsidR="00712825" w:rsidRPr="0072314F">
        <w:rPr>
          <w:rFonts w:ascii="Arial" w:hAnsi="Arial" w:cs="Arial"/>
        </w:rPr>
        <w:t xml:space="preserve"> the largest firms not yet in the sample.</w:t>
      </w:r>
      <w:r w:rsidR="004F33EE" w:rsidRPr="0072314F">
        <w:rPr>
          <w:rFonts w:ascii="Arial" w:hAnsi="Arial" w:cs="Arial"/>
        </w:rPr>
        <w:t xml:space="preserve"> The sample size for non-financial </w:t>
      </w:r>
      <w:r w:rsidR="008D7B37" w:rsidRPr="0072314F">
        <w:rPr>
          <w:rFonts w:ascii="Arial" w:hAnsi="Arial" w:cs="Arial"/>
        </w:rPr>
        <w:t>firms therefore remains at 149</w:t>
      </w:r>
      <w:r w:rsidR="00F76971" w:rsidRPr="0072314F">
        <w:rPr>
          <w:rFonts w:ascii="Arial" w:hAnsi="Arial" w:cs="Arial"/>
        </w:rPr>
        <w:t xml:space="preserve">, </w:t>
      </w:r>
      <w:r w:rsidR="008D7B37" w:rsidRPr="0072314F">
        <w:rPr>
          <w:rFonts w:ascii="Arial" w:hAnsi="Arial" w:cs="Arial"/>
        </w:rPr>
        <w:t xml:space="preserve">but </w:t>
      </w:r>
      <w:r w:rsidR="00F76971" w:rsidRPr="0072314F">
        <w:rPr>
          <w:rFonts w:ascii="Arial" w:hAnsi="Arial" w:cs="Arial"/>
        </w:rPr>
        <w:t xml:space="preserve">financial data was collected from the </w:t>
      </w:r>
      <w:proofErr w:type="spellStart"/>
      <w:r w:rsidR="00F76971" w:rsidRPr="0072314F">
        <w:rPr>
          <w:rFonts w:ascii="Arial" w:hAnsi="Arial" w:cs="Arial"/>
        </w:rPr>
        <w:t>StExYB</w:t>
      </w:r>
      <w:proofErr w:type="spellEnd"/>
      <w:r w:rsidR="00F76971" w:rsidRPr="0072314F">
        <w:rPr>
          <w:rFonts w:ascii="Arial" w:hAnsi="Arial" w:cs="Arial"/>
        </w:rPr>
        <w:t xml:space="preserve"> to calculate total assets</w:t>
      </w:r>
      <w:r w:rsidR="008D7B37" w:rsidRPr="0072314F">
        <w:rPr>
          <w:rFonts w:ascii="Arial" w:hAnsi="Arial" w:cs="Arial"/>
        </w:rPr>
        <w:t xml:space="preserve"> and rank them accordingly</w:t>
      </w:r>
      <w:r w:rsidR="00F76971" w:rsidRPr="0072314F">
        <w:rPr>
          <w:rFonts w:ascii="Arial" w:hAnsi="Arial" w:cs="Arial"/>
        </w:rPr>
        <w:t>.</w:t>
      </w:r>
    </w:p>
    <w:p w14:paraId="1E324979" w14:textId="77777777" w:rsidR="00712825" w:rsidRPr="0072314F" w:rsidRDefault="00712825" w:rsidP="0072314F">
      <w:pPr>
        <w:jc w:val="both"/>
        <w:rPr>
          <w:rFonts w:ascii="Arial" w:hAnsi="Arial" w:cs="Arial"/>
        </w:rPr>
      </w:pPr>
    </w:p>
    <w:p w14:paraId="0A395F88" w14:textId="77777777" w:rsidR="00F76971" w:rsidRPr="0072314F" w:rsidRDefault="00712825" w:rsidP="0072314F">
      <w:pPr>
        <w:jc w:val="both"/>
        <w:rPr>
          <w:rFonts w:ascii="Arial" w:hAnsi="Arial" w:cs="Arial"/>
        </w:rPr>
      </w:pPr>
      <w:r w:rsidRPr="0072314F">
        <w:rPr>
          <w:rFonts w:ascii="Arial" w:hAnsi="Arial" w:cs="Arial"/>
        </w:rPr>
        <w:t>The 1958 financials sample faced similar difficulties, as the NIESR list includes no financials and Fiedler &amp; Gospel only list a handful. In this case</w:t>
      </w:r>
      <w:r w:rsidR="00F76971" w:rsidRPr="0072314F">
        <w:rPr>
          <w:rFonts w:ascii="Arial" w:hAnsi="Arial" w:cs="Arial"/>
        </w:rPr>
        <w:t>, however</w:t>
      </w:r>
      <w:r w:rsidRPr="0072314F">
        <w:rPr>
          <w:rFonts w:ascii="Arial" w:hAnsi="Arial" w:cs="Arial"/>
        </w:rPr>
        <w:t xml:space="preserve">, </w:t>
      </w:r>
      <w:r w:rsidR="00F76971" w:rsidRPr="0072314F">
        <w:rPr>
          <w:rFonts w:ascii="Arial" w:hAnsi="Arial" w:cs="Arial"/>
        </w:rPr>
        <w:t xml:space="preserve">manually collecting the remaining large financial firms from the </w:t>
      </w:r>
      <w:proofErr w:type="spellStart"/>
      <w:r w:rsidR="008D7B37" w:rsidRPr="0072314F">
        <w:rPr>
          <w:rFonts w:ascii="Arial" w:hAnsi="Arial" w:cs="Arial"/>
        </w:rPr>
        <w:t>StExYB</w:t>
      </w:r>
      <w:proofErr w:type="spellEnd"/>
      <w:r w:rsidR="00F76971" w:rsidRPr="0072314F">
        <w:rPr>
          <w:rFonts w:ascii="Arial" w:hAnsi="Arial" w:cs="Arial"/>
        </w:rPr>
        <w:t xml:space="preserve"> was a viable option</w:t>
      </w:r>
      <w:r w:rsidR="008D7B37" w:rsidRPr="0072314F">
        <w:rPr>
          <w:rFonts w:ascii="Arial" w:hAnsi="Arial" w:cs="Arial"/>
        </w:rPr>
        <w:t xml:space="preserve"> as it lists financial firms in a separate section</w:t>
      </w:r>
      <w:r w:rsidR="00F76971" w:rsidRPr="0072314F">
        <w:rPr>
          <w:rFonts w:ascii="Arial" w:hAnsi="Arial" w:cs="Arial"/>
        </w:rPr>
        <w:t xml:space="preserve">. It is </w:t>
      </w:r>
      <w:r w:rsidR="00F76971" w:rsidRPr="0072314F">
        <w:rPr>
          <w:rFonts w:ascii="Arial" w:hAnsi="Arial" w:cs="Arial"/>
        </w:rPr>
        <w:lastRenderedPageBreak/>
        <w:t xml:space="preserve">important to note, though, that some large financials, particularly unlisted ones, may still have slipped through the cracks. As before, total assets were calculated using </w:t>
      </w:r>
      <w:proofErr w:type="spellStart"/>
      <w:r w:rsidR="00F76971" w:rsidRPr="0072314F">
        <w:rPr>
          <w:rFonts w:ascii="Arial" w:hAnsi="Arial" w:cs="Arial"/>
        </w:rPr>
        <w:t>StExYB</w:t>
      </w:r>
      <w:proofErr w:type="spellEnd"/>
      <w:r w:rsidR="00F76971" w:rsidRPr="0072314F">
        <w:rPr>
          <w:rFonts w:ascii="Arial" w:hAnsi="Arial" w:cs="Arial"/>
        </w:rPr>
        <w:t xml:space="preserve"> data.</w:t>
      </w:r>
    </w:p>
    <w:p w14:paraId="56129D33" w14:textId="77777777" w:rsidR="00AE18FE" w:rsidRPr="0072314F" w:rsidRDefault="00AE18FE" w:rsidP="0072314F">
      <w:pPr>
        <w:jc w:val="both"/>
        <w:rPr>
          <w:rFonts w:ascii="Arial" w:hAnsi="Arial" w:cs="Arial"/>
        </w:rPr>
      </w:pPr>
    </w:p>
    <w:p w14:paraId="2325A198" w14:textId="77777777" w:rsidR="00AE18FE" w:rsidRPr="0072314F" w:rsidRDefault="00AE18FE" w:rsidP="0072314F">
      <w:pPr>
        <w:jc w:val="both"/>
        <w:rPr>
          <w:rFonts w:ascii="Arial" w:hAnsi="Arial" w:cs="Arial"/>
        </w:rPr>
      </w:pPr>
      <w:r w:rsidRPr="0072314F">
        <w:rPr>
          <w:rFonts w:ascii="Arial" w:hAnsi="Arial" w:cs="Arial"/>
          <w:u w:val="single"/>
        </w:rPr>
        <w:t xml:space="preserve">The </w:t>
      </w:r>
      <w:r w:rsidR="00E30BC2" w:rsidRPr="0072314F">
        <w:rPr>
          <w:rFonts w:ascii="Arial" w:hAnsi="Arial" w:cs="Arial"/>
          <w:u w:val="single"/>
        </w:rPr>
        <w:t>1983</w:t>
      </w:r>
      <w:r w:rsidRPr="0072314F">
        <w:rPr>
          <w:rFonts w:ascii="Arial" w:hAnsi="Arial" w:cs="Arial"/>
        </w:rPr>
        <w:t xml:space="preserve"> sample was much easier to define thanks to the Times 1000 list. </w:t>
      </w:r>
      <w:r w:rsidR="00F21976" w:rsidRPr="0072314F">
        <w:rPr>
          <w:rFonts w:ascii="Arial" w:hAnsi="Arial" w:cs="Arial"/>
          <w:lang w:val="en-US"/>
        </w:rPr>
        <w:t>After removing f</w:t>
      </w:r>
      <w:r w:rsidRPr="0072314F">
        <w:rPr>
          <w:rFonts w:ascii="Arial" w:hAnsi="Arial" w:cs="Arial"/>
          <w:lang w:val="en-US"/>
        </w:rPr>
        <w:t>irms with a country of control outside the UK</w:t>
      </w:r>
      <w:r w:rsidR="00F21976" w:rsidRPr="0072314F">
        <w:rPr>
          <w:rFonts w:ascii="Arial" w:hAnsi="Arial" w:cs="Arial"/>
          <w:lang w:val="en-US"/>
        </w:rPr>
        <w:t xml:space="preserve">, the largest 200 non-financial firms ranked by turnover were used. </w:t>
      </w:r>
      <w:r w:rsidRPr="0072314F">
        <w:rPr>
          <w:rFonts w:ascii="Arial" w:hAnsi="Arial" w:cs="Arial"/>
          <w:lang w:val="en-US"/>
        </w:rPr>
        <w:t>The Times 1000 does not include data on total assets, but it does list capital employed</w:t>
      </w:r>
      <w:r w:rsidR="009F0C9B" w:rsidRPr="0072314F">
        <w:rPr>
          <w:rFonts w:ascii="Arial" w:hAnsi="Arial" w:cs="Arial"/>
          <w:lang w:val="en-US"/>
        </w:rPr>
        <w:t>, which is defined as t</w:t>
      </w:r>
      <w:proofErr w:type="spellStart"/>
      <w:r w:rsidRPr="0072314F">
        <w:rPr>
          <w:rFonts w:ascii="Arial" w:hAnsi="Arial" w:cs="Arial"/>
        </w:rPr>
        <w:t>otal</w:t>
      </w:r>
      <w:proofErr w:type="spellEnd"/>
      <w:r w:rsidRPr="0072314F">
        <w:rPr>
          <w:rFonts w:ascii="Arial" w:hAnsi="Arial" w:cs="Arial"/>
        </w:rPr>
        <w:t xml:space="preserve"> tangible assets less current liabilities other than bank loan</w:t>
      </w:r>
      <w:r w:rsidR="009F0C9B" w:rsidRPr="0072314F">
        <w:rPr>
          <w:rFonts w:ascii="Arial" w:hAnsi="Arial" w:cs="Arial"/>
        </w:rPr>
        <w:t>s and overdrafts and future tax</w:t>
      </w:r>
      <w:r w:rsidRPr="0072314F">
        <w:rPr>
          <w:rFonts w:ascii="Arial" w:hAnsi="Arial" w:cs="Arial"/>
        </w:rPr>
        <w:t>. Capital employed data was collected for all firms in the sample.</w:t>
      </w:r>
    </w:p>
    <w:p w14:paraId="75B5058E" w14:textId="77777777" w:rsidR="00AE18FE" w:rsidRPr="0072314F" w:rsidRDefault="00AE18FE" w:rsidP="0072314F">
      <w:pPr>
        <w:jc w:val="both"/>
        <w:rPr>
          <w:rFonts w:ascii="Arial" w:hAnsi="Arial" w:cs="Arial"/>
        </w:rPr>
      </w:pPr>
    </w:p>
    <w:p w14:paraId="3CA30169" w14:textId="77777777" w:rsidR="00AE18FE" w:rsidRPr="0072314F" w:rsidRDefault="00AE18FE" w:rsidP="0072314F">
      <w:pPr>
        <w:jc w:val="both"/>
        <w:rPr>
          <w:rFonts w:ascii="Arial" w:hAnsi="Arial" w:cs="Arial"/>
        </w:rPr>
      </w:pPr>
      <w:r w:rsidRPr="0072314F">
        <w:rPr>
          <w:rFonts w:ascii="Arial" w:hAnsi="Arial" w:cs="Arial"/>
        </w:rPr>
        <w:t xml:space="preserve">The Times 1000 only </w:t>
      </w:r>
      <w:r w:rsidR="00F21976" w:rsidRPr="0072314F">
        <w:rPr>
          <w:rFonts w:ascii="Arial" w:hAnsi="Arial" w:cs="Arial"/>
        </w:rPr>
        <w:t xml:space="preserve">names </w:t>
      </w:r>
      <w:r w:rsidRPr="0072314F">
        <w:rPr>
          <w:rFonts w:ascii="Arial" w:hAnsi="Arial" w:cs="Arial"/>
        </w:rPr>
        <w:t>the top financial firms in separate, narrowly-defined lists, e.g. clearing banks, non-life insurance companies, building societies, etc. The sample of financial firms was thus compiled as follows:</w:t>
      </w:r>
    </w:p>
    <w:p w14:paraId="5479F77A" w14:textId="77777777" w:rsidR="00AE18FE" w:rsidRPr="0072314F" w:rsidRDefault="00AE18FE" w:rsidP="0072314F">
      <w:pPr>
        <w:pStyle w:val="Paragraphedeliste"/>
        <w:numPr>
          <w:ilvl w:val="0"/>
          <w:numId w:val="2"/>
        </w:numPr>
        <w:jc w:val="both"/>
        <w:rPr>
          <w:rFonts w:ascii="Arial" w:hAnsi="Arial" w:cs="Arial"/>
        </w:rPr>
      </w:pPr>
      <w:r w:rsidRPr="0072314F">
        <w:rPr>
          <w:rFonts w:ascii="Arial" w:hAnsi="Arial" w:cs="Arial"/>
          <w:lang w:val="en-US"/>
        </w:rPr>
        <w:t>Top 5 finance houses (by capital employed)</w:t>
      </w:r>
    </w:p>
    <w:p w14:paraId="6617F775" w14:textId="77777777" w:rsidR="00AE18FE" w:rsidRPr="0072314F" w:rsidRDefault="00AE18FE" w:rsidP="0072314F">
      <w:pPr>
        <w:pStyle w:val="Paragraphedeliste"/>
        <w:numPr>
          <w:ilvl w:val="0"/>
          <w:numId w:val="2"/>
        </w:numPr>
        <w:jc w:val="both"/>
        <w:rPr>
          <w:rFonts w:ascii="Arial" w:hAnsi="Arial" w:cs="Arial"/>
        </w:rPr>
      </w:pPr>
      <w:r w:rsidRPr="0072314F">
        <w:rPr>
          <w:rFonts w:ascii="Arial" w:hAnsi="Arial" w:cs="Arial"/>
          <w:lang w:val="en-US"/>
        </w:rPr>
        <w:t>Top 5 accepting houses (by total assets)</w:t>
      </w:r>
    </w:p>
    <w:p w14:paraId="407D322C" w14:textId="77777777" w:rsidR="00AE18FE" w:rsidRPr="0072314F" w:rsidRDefault="00AE18FE" w:rsidP="0072314F">
      <w:pPr>
        <w:pStyle w:val="Paragraphedeliste"/>
        <w:numPr>
          <w:ilvl w:val="0"/>
          <w:numId w:val="2"/>
        </w:numPr>
        <w:jc w:val="both"/>
        <w:rPr>
          <w:rFonts w:ascii="Arial" w:hAnsi="Arial" w:cs="Arial"/>
        </w:rPr>
      </w:pPr>
      <w:r w:rsidRPr="0072314F">
        <w:rPr>
          <w:rFonts w:ascii="Arial" w:hAnsi="Arial" w:cs="Arial"/>
          <w:lang w:val="en-US"/>
        </w:rPr>
        <w:t>Top 5 discount houses (by total assets)</w:t>
      </w:r>
    </w:p>
    <w:p w14:paraId="1DFAA6B1" w14:textId="77777777" w:rsidR="00AE18FE" w:rsidRPr="0072314F" w:rsidRDefault="00AE18FE" w:rsidP="0072314F">
      <w:pPr>
        <w:pStyle w:val="Paragraphedeliste"/>
        <w:numPr>
          <w:ilvl w:val="0"/>
          <w:numId w:val="2"/>
        </w:numPr>
        <w:jc w:val="both"/>
        <w:rPr>
          <w:rFonts w:ascii="Arial" w:hAnsi="Arial" w:cs="Arial"/>
        </w:rPr>
      </w:pPr>
      <w:r w:rsidRPr="0072314F">
        <w:rPr>
          <w:rFonts w:ascii="Arial" w:hAnsi="Arial" w:cs="Arial"/>
          <w:lang w:val="en-US"/>
        </w:rPr>
        <w:t>Top 9 clearing banks (by total assets)</w:t>
      </w:r>
    </w:p>
    <w:p w14:paraId="33D98C93" w14:textId="77777777" w:rsidR="00AE18FE" w:rsidRPr="0072314F" w:rsidRDefault="00AE18FE" w:rsidP="0072314F">
      <w:pPr>
        <w:pStyle w:val="Paragraphedeliste"/>
        <w:numPr>
          <w:ilvl w:val="0"/>
          <w:numId w:val="2"/>
        </w:numPr>
        <w:jc w:val="both"/>
        <w:rPr>
          <w:rFonts w:ascii="Arial" w:hAnsi="Arial" w:cs="Arial"/>
        </w:rPr>
      </w:pPr>
      <w:r w:rsidRPr="0072314F">
        <w:rPr>
          <w:rFonts w:ascii="Arial" w:hAnsi="Arial" w:cs="Arial"/>
          <w:lang w:val="en-US"/>
        </w:rPr>
        <w:t>Top 5 other British banks</w:t>
      </w:r>
    </w:p>
    <w:p w14:paraId="3BF2A6B0" w14:textId="77777777" w:rsidR="00AE18FE" w:rsidRPr="0072314F" w:rsidRDefault="00AE18FE" w:rsidP="0072314F">
      <w:pPr>
        <w:pStyle w:val="Paragraphedeliste"/>
        <w:numPr>
          <w:ilvl w:val="0"/>
          <w:numId w:val="2"/>
        </w:numPr>
        <w:jc w:val="both"/>
        <w:rPr>
          <w:rFonts w:ascii="Arial" w:hAnsi="Arial" w:cs="Arial"/>
        </w:rPr>
      </w:pPr>
      <w:r w:rsidRPr="0072314F">
        <w:rPr>
          <w:rFonts w:ascii="Arial" w:hAnsi="Arial" w:cs="Arial"/>
          <w:lang w:val="en-US"/>
        </w:rPr>
        <w:t>Top 5 insurance companies - life (by life etc. funds)</w:t>
      </w:r>
    </w:p>
    <w:p w14:paraId="66F18C1F" w14:textId="77777777" w:rsidR="00AE18FE" w:rsidRPr="0072314F" w:rsidRDefault="00AE18FE" w:rsidP="0072314F">
      <w:pPr>
        <w:pStyle w:val="Paragraphedeliste"/>
        <w:numPr>
          <w:ilvl w:val="0"/>
          <w:numId w:val="2"/>
        </w:numPr>
        <w:jc w:val="both"/>
        <w:rPr>
          <w:rFonts w:ascii="Arial" w:hAnsi="Arial" w:cs="Arial"/>
        </w:rPr>
      </w:pPr>
      <w:r w:rsidRPr="0072314F">
        <w:rPr>
          <w:rFonts w:ascii="Arial" w:hAnsi="Arial" w:cs="Arial"/>
          <w:lang w:val="en-US"/>
        </w:rPr>
        <w:t>Top 5 insurance companies - non-life (by premium income)</w:t>
      </w:r>
    </w:p>
    <w:p w14:paraId="5B996776" w14:textId="77777777" w:rsidR="00AE18FE" w:rsidRPr="0072314F" w:rsidRDefault="00AE18FE" w:rsidP="0072314F">
      <w:pPr>
        <w:pStyle w:val="Paragraphedeliste"/>
        <w:numPr>
          <w:ilvl w:val="0"/>
          <w:numId w:val="2"/>
        </w:numPr>
        <w:jc w:val="both"/>
        <w:rPr>
          <w:rFonts w:ascii="Arial" w:hAnsi="Arial" w:cs="Arial"/>
        </w:rPr>
      </w:pPr>
      <w:r w:rsidRPr="0072314F">
        <w:rPr>
          <w:rFonts w:ascii="Arial" w:hAnsi="Arial" w:cs="Arial"/>
          <w:lang w:val="en-US"/>
        </w:rPr>
        <w:t>Top 5 investment trusts (by investments at market value)</w:t>
      </w:r>
    </w:p>
    <w:p w14:paraId="272310C8" w14:textId="77777777" w:rsidR="00AE18FE" w:rsidRPr="0072314F" w:rsidRDefault="00AE18FE" w:rsidP="0072314F">
      <w:pPr>
        <w:pStyle w:val="Paragraphedeliste"/>
        <w:numPr>
          <w:ilvl w:val="0"/>
          <w:numId w:val="2"/>
        </w:numPr>
        <w:jc w:val="both"/>
        <w:rPr>
          <w:rFonts w:ascii="Arial" w:hAnsi="Arial" w:cs="Arial"/>
        </w:rPr>
      </w:pPr>
      <w:r w:rsidRPr="0072314F">
        <w:rPr>
          <w:rFonts w:ascii="Arial" w:hAnsi="Arial" w:cs="Arial"/>
          <w:lang w:val="en-US"/>
        </w:rPr>
        <w:t>Top 6 building societies (by total assets)</w:t>
      </w:r>
    </w:p>
    <w:p w14:paraId="07478640" w14:textId="77777777" w:rsidR="00AE18FE" w:rsidRPr="0072314F" w:rsidRDefault="00AE18FE" w:rsidP="0072314F">
      <w:pPr>
        <w:jc w:val="both"/>
        <w:rPr>
          <w:rFonts w:ascii="Arial" w:hAnsi="Arial" w:cs="Arial"/>
        </w:rPr>
      </w:pPr>
    </w:p>
    <w:p w14:paraId="5DF60490" w14:textId="77777777" w:rsidR="00AE18FE" w:rsidRPr="0072314F" w:rsidRDefault="00AE18FE" w:rsidP="0072314F">
      <w:pPr>
        <w:jc w:val="both"/>
        <w:rPr>
          <w:rFonts w:ascii="Arial" w:hAnsi="Arial" w:cs="Arial"/>
        </w:rPr>
      </w:pPr>
      <w:r w:rsidRPr="0072314F">
        <w:rPr>
          <w:rFonts w:ascii="Arial" w:hAnsi="Arial" w:cs="Arial"/>
        </w:rPr>
        <w:t>Some of these category lists are rather short (often only top ten), which means that they might leave out firms that are larger than the</w:t>
      </w:r>
      <w:r w:rsidR="00655DEF" w:rsidRPr="0072314F">
        <w:rPr>
          <w:rFonts w:ascii="Arial" w:hAnsi="Arial" w:cs="Arial"/>
        </w:rPr>
        <w:t xml:space="preserve"> top firms in another category. Several firms in the sample are subsidiaries of other firms in the sample, e.g. Coutts is a subsidiary of National Westminster Bank.</w:t>
      </w:r>
      <w:r w:rsidR="00B353E9" w:rsidRPr="0072314F">
        <w:rPr>
          <w:rFonts w:ascii="Arial" w:hAnsi="Arial" w:cs="Arial"/>
        </w:rPr>
        <w:t xml:space="preserve"> In order to obtain a sufficiently large sample for financial firms, we included these subsidiaries in the sample (contrary to the prescriptions of the ‘white paper’). Ultimately, the number of subsidiaries is limited to the financial sector and is small.</w:t>
      </w:r>
    </w:p>
    <w:p w14:paraId="4219F4CF" w14:textId="77777777" w:rsidR="00655DEF" w:rsidRPr="0072314F" w:rsidRDefault="00655DEF" w:rsidP="0072314F">
      <w:pPr>
        <w:jc w:val="both"/>
        <w:rPr>
          <w:rFonts w:ascii="Arial" w:hAnsi="Arial" w:cs="Arial"/>
        </w:rPr>
      </w:pPr>
    </w:p>
    <w:p w14:paraId="78D183A2" w14:textId="77777777" w:rsidR="003368ED" w:rsidRPr="0072314F" w:rsidRDefault="00E30BC2" w:rsidP="0072314F">
      <w:pPr>
        <w:jc w:val="both"/>
        <w:rPr>
          <w:rFonts w:ascii="Arial" w:hAnsi="Arial" w:cs="Arial"/>
        </w:rPr>
      </w:pPr>
      <w:r w:rsidRPr="0072314F">
        <w:rPr>
          <w:rFonts w:ascii="Arial" w:hAnsi="Arial" w:cs="Arial"/>
          <w:u w:val="single"/>
        </w:rPr>
        <w:t xml:space="preserve">The </w:t>
      </w:r>
      <w:r w:rsidR="00F21976" w:rsidRPr="0072314F">
        <w:rPr>
          <w:rFonts w:ascii="Arial" w:hAnsi="Arial" w:cs="Arial"/>
          <w:u w:val="single"/>
        </w:rPr>
        <w:t>1993</w:t>
      </w:r>
      <w:r w:rsidR="00F21976" w:rsidRPr="0072314F">
        <w:rPr>
          <w:rFonts w:ascii="Arial" w:hAnsi="Arial" w:cs="Arial"/>
        </w:rPr>
        <w:t xml:space="preserve"> sample was compiled using Thomson One according to whitepaper definitions, i.e. the top 200 non-financials and top 50 financials by total assets.</w:t>
      </w:r>
      <w:r w:rsidR="002E2378" w:rsidRPr="0072314F">
        <w:rPr>
          <w:rFonts w:ascii="Arial" w:hAnsi="Arial" w:cs="Arial"/>
        </w:rPr>
        <w:t xml:space="preserve"> The sample includes both private and publicly listed firms incorporated in the United Kingdom.</w:t>
      </w:r>
    </w:p>
    <w:p w14:paraId="18B3E746" w14:textId="77777777" w:rsidR="00F21976" w:rsidRPr="0072314F" w:rsidRDefault="00F21976" w:rsidP="0072314F">
      <w:pPr>
        <w:jc w:val="both"/>
        <w:rPr>
          <w:rFonts w:ascii="Arial" w:hAnsi="Arial" w:cs="Arial"/>
          <w:b/>
        </w:rPr>
      </w:pPr>
    </w:p>
    <w:p w14:paraId="48BC2100" w14:textId="77777777" w:rsidR="00864120" w:rsidRPr="0072314F" w:rsidRDefault="00864120" w:rsidP="0072314F">
      <w:pPr>
        <w:jc w:val="both"/>
        <w:rPr>
          <w:rFonts w:ascii="Arial" w:hAnsi="Arial" w:cs="Arial"/>
        </w:rPr>
      </w:pPr>
      <w:r w:rsidRPr="0072314F">
        <w:rPr>
          <w:rFonts w:ascii="Arial" w:hAnsi="Arial" w:cs="Arial"/>
          <w:u w:val="single"/>
        </w:rPr>
        <w:t>The 2010</w:t>
      </w:r>
      <w:r w:rsidRPr="0072314F">
        <w:rPr>
          <w:rFonts w:ascii="Arial" w:hAnsi="Arial" w:cs="Arial"/>
        </w:rPr>
        <w:t xml:space="preserve"> non-financials sample was defined using Bureau van </w:t>
      </w:r>
      <w:proofErr w:type="spellStart"/>
      <w:r w:rsidRPr="0072314F">
        <w:rPr>
          <w:rFonts w:ascii="Arial" w:hAnsi="Arial" w:cs="Arial"/>
        </w:rPr>
        <w:t>Dijk’s</w:t>
      </w:r>
      <w:proofErr w:type="spellEnd"/>
      <w:r w:rsidRPr="0072314F">
        <w:rPr>
          <w:rFonts w:ascii="Arial" w:hAnsi="Arial" w:cs="Arial"/>
        </w:rPr>
        <w:t xml:space="preserve"> OSIRIS database of publicly listed firms. The search steps used are:</w:t>
      </w:r>
    </w:p>
    <w:p w14:paraId="744ADC28" w14:textId="77777777" w:rsidR="00864120" w:rsidRPr="0072314F" w:rsidRDefault="00864120" w:rsidP="0072314F">
      <w:pPr>
        <w:jc w:val="both"/>
        <w:rPr>
          <w:rFonts w:ascii="Arial" w:hAnsi="Arial" w:cs="Arial"/>
        </w:rPr>
      </w:pPr>
    </w:p>
    <w:p w14:paraId="76ECDE98" w14:textId="77777777" w:rsidR="00864120" w:rsidRPr="0072314F" w:rsidRDefault="00864120" w:rsidP="0072314F">
      <w:pPr>
        <w:pStyle w:val="Paragraphedeliste"/>
        <w:numPr>
          <w:ilvl w:val="0"/>
          <w:numId w:val="3"/>
        </w:numPr>
        <w:jc w:val="both"/>
        <w:rPr>
          <w:rFonts w:ascii="Arial" w:hAnsi="Arial" w:cs="Arial"/>
        </w:rPr>
      </w:pPr>
      <w:r w:rsidRPr="0072314F">
        <w:rPr>
          <w:rFonts w:ascii="Arial" w:hAnsi="Arial" w:cs="Arial"/>
        </w:rPr>
        <w:t xml:space="preserve">Listed/Unlisted companies: Publicly listed companies </w:t>
      </w:r>
    </w:p>
    <w:p w14:paraId="782454FE" w14:textId="77777777" w:rsidR="00864120" w:rsidRPr="0072314F" w:rsidRDefault="00864120" w:rsidP="0072314F">
      <w:pPr>
        <w:pStyle w:val="Paragraphedeliste"/>
        <w:numPr>
          <w:ilvl w:val="0"/>
          <w:numId w:val="3"/>
        </w:numPr>
        <w:jc w:val="both"/>
        <w:rPr>
          <w:rFonts w:ascii="Arial" w:hAnsi="Arial" w:cs="Arial"/>
        </w:rPr>
      </w:pPr>
      <w:r w:rsidRPr="0072314F">
        <w:rPr>
          <w:rFonts w:ascii="Arial" w:hAnsi="Arial" w:cs="Arial"/>
        </w:rPr>
        <w:t>World region/Country: United Kingdom</w:t>
      </w:r>
    </w:p>
    <w:p w14:paraId="24DD8425" w14:textId="77777777" w:rsidR="00864120" w:rsidRPr="0072314F" w:rsidRDefault="00864120" w:rsidP="0072314F">
      <w:pPr>
        <w:pStyle w:val="Paragraphedeliste"/>
        <w:numPr>
          <w:ilvl w:val="0"/>
          <w:numId w:val="3"/>
        </w:numPr>
        <w:jc w:val="both"/>
        <w:rPr>
          <w:rFonts w:ascii="Arial" w:hAnsi="Arial" w:cs="Arial"/>
        </w:rPr>
      </w:pPr>
      <w:r w:rsidRPr="0072314F">
        <w:rPr>
          <w:rFonts w:ascii="Arial" w:hAnsi="Arial" w:cs="Arial"/>
        </w:rPr>
        <w:t xml:space="preserve">Type of entities: Industrial companies </w:t>
      </w:r>
    </w:p>
    <w:p w14:paraId="61233A42" w14:textId="77777777" w:rsidR="00864120" w:rsidRPr="0072314F" w:rsidRDefault="00864120" w:rsidP="0072314F">
      <w:pPr>
        <w:pStyle w:val="Paragraphedeliste"/>
        <w:numPr>
          <w:ilvl w:val="0"/>
          <w:numId w:val="3"/>
        </w:numPr>
        <w:jc w:val="both"/>
        <w:rPr>
          <w:rFonts w:ascii="Arial" w:hAnsi="Arial" w:cs="Arial"/>
        </w:rPr>
      </w:pPr>
      <w:r w:rsidRPr="0072314F">
        <w:rPr>
          <w:rFonts w:ascii="Arial" w:hAnsi="Arial" w:cs="Arial"/>
        </w:rPr>
        <w:t>Total Assets: 2010, Top 250</w:t>
      </w:r>
    </w:p>
    <w:p w14:paraId="1F7EE65F" w14:textId="77777777" w:rsidR="00864120" w:rsidRPr="0072314F" w:rsidRDefault="00864120" w:rsidP="0072314F">
      <w:pPr>
        <w:jc w:val="both"/>
        <w:rPr>
          <w:rFonts w:ascii="Arial" w:hAnsi="Arial" w:cs="Arial"/>
        </w:rPr>
      </w:pPr>
    </w:p>
    <w:p w14:paraId="62588FAB" w14:textId="77777777" w:rsidR="00864120" w:rsidRPr="0072314F" w:rsidRDefault="00864120" w:rsidP="0072314F">
      <w:pPr>
        <w:jc w:val="both"/>
        <w:rPr>
          <w:rFonts w:ascii="Arial" w:hAnsi="Arial" w:cs="Arial"/>
        </w:rPr>
      </w:pPr>
      <w:r w:rsidRPr="0072314F">
        <w:rPr>
          <w:rFonts w:ascii="Arial" w:hAnsi="Arial" w:cs="Arial"/>
        </w:rPr>
        <w:t>For the 2010 financials sample, search step 3 was modified to include “Banks and Financial Institutions, Insurance Companies”</w:t>
      </w:r>
      <w:proofErr w:type="gramStart"/>
      <w:r w:rsidRPr="0072314F">
        <w:rPr>
          <w:rFonts w:ascii="Arial" w:hAnsi="Arial" w:cs="Arial"/>
        </w:rPr>
        <w:t>,</w:t>
      </w:r>
      <w:proofErr w:type="gramEnd"/>
      <w:r w:rsidRPr="0072314F">
        <w:rPr>
          <w:rFonts w:ascii="Arial" w:hAnsi="Arial" w:cs="Arial"/>
        </w:rPr>
        <w:t xml:space="preserve"> </w:t>
      </w:r>
      <w:r w:rsidR="00396BE2" w:rsidRPr="0072314F">
        <w:rPr>
          <w:rFonts w:ascii="Arial" w:hAnsi="Arial" w:cs="Arial"/>
        </w:rPr>
        <w:t xml:space="preserve">step 4 was changed to </w:t>
      </w:r>
      <w:r w:rsidR="00396BE2" w:rsidRPr="0072314F">
        <w:rPr>
          <w:rFonts w:ascii="Arial" w:hAnsi="Arial" w:cs="Arial"/>
        </w:rPr>
        <w:lastRenderedPageBreak/>
        <w:t>include the top 100</w:t>
      </w:r>
      <w:r w:rsidR="00301F5B" w:rsidRPr="0072314F">
        <w:rPr>
          <w:rFonts w:ascii="Arial" w:hAnsi="Arial" w:cs="Arial"/>
        </w:rPr>
        <w:t xml:space="preserve"> firms by total assets in 2010.</w:t>
      </w:r>
      <w:r w:rsidR="009B5485" w:rsidRPr="0072314F">
        <w:rPr>
          <w:rFonts w:ascii="Arial" w:hAnsi="Arial" w:cs="Arial"/>
        </w:rPr>
        <w:t xml:space="preserve"> As OSIRIS does not include private companies, the 2010 sample is limited to publicly listed corporations.</w:t>
      </w:r>
    </w:p>
    <w:p w14:paraId="7A8C860F" w14:textId="77777777" w:rsidR="00655DEF" w:rsidRPr="0072314F" w:rsidRDefault="00655DEF" w:rsidP="0072314F">
      <w:pPr>
        <w:jc w:val="both"/>
        <w:rPr>
          <w:rFonts w:ascii="Arial" w:hAnsi="Arial" w:cs="Arial"/>
        </w:rPr>
      </w:pPr>
    </w:p>
    <w:p w14:paraId="7BFFDFB6" w14:textId="77777777" w:rsidR="00655DEF" w:rsidRPr="0072314F" w:rsidRDefault="00655DEF" w:rsidP="0072314F">
      <w:pPr>
        <w:jc w:val="both"/>
        <w:rPr>
          <w:rFonts w:ascii="Arial" w:hAnsi="Arial" w:cs="Arial"/>
          <w:b/>
        </w:rPr>
      </w:pPr>
      <w:r w:rsidRPr="0072314F">
        <w:rPr>
          <w:rFonts w:ascii="Arial" w:hAnsi="Arial" w:cs="Arial"/>
          <w:b/>
        </w:rPr>
        <w:t>Director Data</w:t>
      </w:r>
    </w:p>
    <w:p w14:paraId="22364979" w14:textId="77777777" w:rsidR="003368ED" w:rsidRPr="0072314F" w:rsidRDefault="003368ED" w:rsidP="0072314F">
      <w:pPr>
        <w:jc w:val="both"/>
        <w:rPr>
          <w:rFonts w:ascii="Arial" w:hAnsi="Arial" w:cs="Arial"/>
        </w:rPr>
      </w:pPr>
    </w:p>
    <w:p w14:paraId="17AD6048" w14:textId="77777777" w:rsidR="00297143" w:rsidRPr="0072314F" w:rsidRDefault="00297143" w:rsidP="0072314F">
      <w:pPr>
        <w:jc w:val="both"/>
        <w:rPr>
          <w:rFonts w:ascii="Arial" w:hAnsi="Arial" w:cs="Arial"/>
        </w:rPr>
      </w:pPr>
      <w:r w:rsidRPr="0072314F">
        <w:rPr>
          <w:rFonts w:ascii="Arial" w:hAnsi="Arial" w:cs="Arial"/>
          <w:u w:val="single"/>
        </w:rPr>
        <w:t>For 1904 and 1938</w:t>
      </w:r>
      <w:r w:rsidRPr="0072314F">
        <w:rPr>
          <w:rFonts w:ascii="Arial" w:hAnsi="Arial" w:cs="Arial"/>
        </w:rPr>
        <w:t xml:space="preserve">, director data from </w:t>
      </w:r>
      <w:proofErr w:type="spellStart"/>
      <w:r w:rsidRPr="0072314F">
        <w:rPr>
          <w:rFonts w:ascii="Arial" w:hAnsi="Arial" w:cs="Arial"/>
        </w:rPr>
        <w:t>Windolf</w:t>
      </w:r>
      <w:proofErr w:type="spellEnd"/>
      <w:r w:rsidRPr="0072314F">
        <w:rPr>
          <w:rFonts w:ascii="Arial" w:hAnsi="Arial" w:cs="Arial"/>
        </w:rPr>
        <w:t xml:space="preserve">/Scott and for 1976 from </w:t>
      </w:r>
      <w:proofErr w:type="spellStart"/>
      <w:r w:rsidRPr="0072314F">
        <w:rPr>
          <w:rFonts w:ascii="Arial" w:hAnsi="Arial" w:cs="Arial"/>
        </w:rPr>
        <w:t>Stokman</w:t>
      </w:r>
      <w:proofErr w:type="spellEnd"/>
      <w:r w:rsidRPr="0072314F">
        <w:rPr>
          <w:rFonts w:ascii="Arial" w:hAnsi="Arial" w:cs="Arial"/>
        </w:rPr>
        <w:t xml:space="preserve"> was used as-is. In the case of 1997 and 2000, only relevant director data was extracted from </w:t>
      </w:r>
      <w:proofErr w:type="spellStart"/>
      <w:r w:rsidRPr="0072314F">
        <w:rPr>
          <w:rFonts w:ascii="Arial" w:hAnsi="Arial" w:cs="Arial"/>
        </w:rPr>
        <w:t>Conyon’s</w:t>
      </w:r>
      <w:proofErr w:type="spellEnd"/>
      <w:r w:rsidRPr="0072314F">
        <w:rPr>
          <w:rFonts w:ascii="Arial" w:hAnsi="Arial" w:cs="Arial"/>
        </w:rPr>
        <w:t xml:space="preserve"> dataset, i.e. directors of the firms in our 1997 and 2000 samples.</w:t>
      </w:r>
    </w:p>
    <w:p w14:paraId="71535BE8" w14:textId="77777777" w:rsidR="00297143" w:rsidRPr="0072314F" w:rsidRDefault="00297143" w:rsidP="0072314F">
      <w:pPr>
        <w:jc w:val="both"/>
        <w:rPr>
          <w:rFonts w:ascii="Arial" w:hAnsi="Arial" w:cs="Arial"/>
        </w:rPr>
      </w:pPr>
    </w:p>
    <w:p w14:paraId="25F9C480" w14:textId="77777777" w:rsidR="00655DEF" w:rsidRPr="0072314F" w:rsidRDefault="00655DEF" w:rsidP="0072314F">
      <w:pPr>
        <w:jc w:val="both"/>
        <w:rPr>
          <w:rFonts w:ascii="Arial" w:hAnsi="Arial" w:cs="Arial"/>
        </w:rPr>
      </w:pPr>
      <w:r w:rsidRPr="0072314F">
        <w:rPr>
          <w:rFonts w:ascii="Arial" w:hAnsi="Arial" w:cs="Arial"/>
        </w:rPr>
        <w:t xml:space="preserve">Director data for </w:t>
      </w:r>
      <w:r w:rsidR="00297143" w:rsidRPr="0072314F">
        <w:rPr>
          <w:rFonts w:ascii="Arial" w:hAnsi="Arial" w:cs="Arial"/>
        </w:rPr>
        <w:t>the</w:t>
      </w:r>
      <w:r w:rsidRPr="0072314F">
        <w:rPr>
          <w:rFonts w:ascii="Arial" w:hAnsi="Arial" w:cs="Arial"/>
        </w:rPr>
        <w:t xml:space="preserve"> </w:t>
      </w:r>
      <w:r w:rsidRPr="0072314F">
        <w:rPr>
          <w:rFonts w:ascii="Arial" w:hAnsi="Arial" w:cs="Arial"/>
          <w:u w:val="single"/>
        </w:rPr>
        <w:t>1958</w:t>
      </w:r>
      <w:r w:rsidR="00297143" w:rsidRPr="0072314F">
        <w:rPr>
          <w:rFonts w:ascii="Arial" w:hAnsi="Arial" w:cs="Arial"/>
          <w:u w:val="single"/>
        </w:rPr>
        <w:t>,</w:t>
      </w:r>
      <w:r w:rsidRPr="0072314F">
        <w:rPr>
          <w:rFonts w:ascii="Arial" w:hAnsi="Arial" w:cs="Arial"/>
          <w:u w:val="single"/>
        </w:rPr>
        <w:t xml:space="preserve"> 1983 </w:t>
      </w:r>
      <w:r w:rsidR="00297143" w:rsidRPr="0072314F">
        <w:rPr>
          <w:rFonts w:ascii="Arial" w:hAnsi="Arial" w:cs="Arial"/>
          <w:u w:val="single"/>
        </w:rPr>
        <w:t>and 1993</w:t>
      </w:r>
      <w:r w:rsidR="00297143" w:rsidRPr="0072314F">
        <w:rPr>
          <w:rFonts w:ascii="Arial" w:hAnsi="Arial" w:cs="Arial"/>
        </w:rPr>
        <w:t xml:space="preserve"> </w:t>
      </w:r>
      <w:r w:rsidRPr="0072314F">
        <w:rPr>
          <w:rFonts w:ascii="Arial" w:hAnsi="Arial" w:cs="Arial"/>
        </w:rPr>
        <w:t>samples was collected from The Official Stock Exchange Year-Book (</w:t>
      </w:r>
      <w:proofErr w:type="spellStart"/>
      <w:r w:rsidRPr="0072314F">
        <w:rPr>
          <w:rFonts w:ascii="Arial" w:hAnsi="Arial" w:cs="Arial"/>
        </w:rPr>
        <w:t>StExYB</w:t>
      </w:r>
      <w:proofErr w:type="spellEnd"/>
      <w:r w:rsidRPr="0072314F">
        <w:rPr>
          <w:rFonts w:ascii="Arial" w:hAnsi="Arial" w:cs="Arial"/>
        </w:rPr>
        <w:t xml:space="preserve">) for the corresponding years. Each person was assigned a unique Director ID. Names, titles and roles were collected as printed in the </w:t>
      </w:r>
      <w:proofErr w:type="spellStart"/>
      <w:r w:rsidRPr="0072314F">
        <w:rPr>
          <w:rFonts w:ascii="Arial" w:hAnsi="Arial" w:cs="Arial"/>
        </w:rPr>
        <w:t>StExYB</w:t>
      </w:r>
      <w:proofErr w:type="spellEnd"/>
      <w:r w:rsidRPr="0072314F">
        <w:rPr>
          <w:rFonts w:ascii="Arial" w:hAnsi="Arial" w:cs="Arial"/>
        </w:rPr>
        <w:t xml:space="preserve">. </w:t>
      </w:r>
      <w:r w:rsidR="00040DAE" w:rsidRPr="0072314F">
        <w:rPr>
          <w:rFonts w:ascii="Arial" w:hAnsi="Arial" w:cs="Arial"/>
        </w:rPr>
        <w:t xml:space="preserve">The </w:t>
      </w:r>
      <w:proofErr w:type="spellStart"/>
      <w:r w:rsidR="00040DAE" w:rsidRPr="0072314F">
        <w:rPr>
          <w:rFonts w:ascii="Arial" w:hAnsi="Arial" w:cs="Arial"/>
        </w:rPr>
        <w:t>StExYB</w:t>
      </w:r>
      <w:proofErr w:type="spellEnd"/>
      <w:r w:rsidR="00040DAE" w:rsidRPr="0072314F">
        <w:rPr>
          <w:rFonts w:ascii="Arial" w:hAnsi="Arial" w:cs="Arial"/>
        </w:rPr>
        <w:t xml:space="preserve"> is inconsistent in using full first names and initials. Informed guesses were made in cases where there was the suspicion that a person with the same last name, but full first name in one case, and abbreviated first name in the other, was actually the same person. With very common last names, for example Clark or Smith, it was generally assumed that they were distinct persons. However, when the last name was very uncommon (e.g. </w:t>
      </w:r>
      <w:proofErr w:type="spellStart"/>
      <w:r w:rsidR="00040DAE" w:rsidRPr="0072314F">
        <w:rPr>
          <w:rFonts w:ascii="Arial" w:hAnsi="Arial" w:cs="Arial"/>
        </w:rPr>
        <w:t>Wansbrough</w:t>
      </w:r>
      <w:proofErr w:type="spellEnd"/>
      <w:r w:rsidR="00040DAE" w:rsidRPr="0072314F">
        <w:rPr>
          <w:rFonts w:ascii="Arial" w:hAnsi="Arial" w:cs="Arial"/>
        </w:rPr>
        <w:t xml:space="preserve">-Jones) and when titles </w:t>
      </w:r>
      <w:r w:rsidR="00EA0EBE" w:rsidRPr="0072314F">
        <w:rPr>
          <w:rFonts w:ascii="Arial" w:hAnsi="Arial" w:cs="Arial"/>
        </w:rPr>
        <w:t xml:space="preserve">or other additional information </w:t>
      </w:r>
      <w:r w:rsidR="00040DAE" w:rsidRPr="0072314F">
        <w:rPr>
          <w:rFonts w:ascii="Arial" w:hAnsi="Arial" w:cs="Arial"/>
        </w:rPr>
        <w:t>largely matched, it was assumed to be the same person and initials were replaced with the full name, and the Director ID merged.</w:t>
      </w:r>
    </w:p>
    <w:p w14:paraId="79F427A8" w14:textId="77777777" w:rsidR="00040DAE" w:rsidRPr="0072314F" w:rsidRDefault="00040DAE" w:rsidP="0072314F">
      <w:pPr>
        <w:jc w:val="both"/>
        <w:rPr>
          <w:rFonts w:ascii="Arial" w:hAnsi="Arial" w:cs="Arial"/>
        </w:rPr>
      </w:pPr>
    </w:p>
    <w:p w14:paraId="26A24AF9" w14:textId="77777777" w:rsidR="00040DAE" w:rsidRPr="0072314F" w:rsidRDefault="00040DAE" w:rsidP="0072314F">
      <w:pPr>
        <w:jc w:val="both"/>
        <w:rPr>
          <w:rFonts w:ascii="Arial" w:hAnsi="Arial" w:cs="Arial"/>
        </w:rPr>
      </w:pPr>
      <w:r w:rsidRPr="0072314F">
        <w:rPr>
          <w:rFonts w:ascii="Arial" w:hAnsi="Arial" w:cs="Arial"/>
        </w:rPr>
        <w:t xml:space="preserve">Director data was collected for all firms that are in the </w:t>
      </w:r>
      <w:proofErr w:type="spellStart"/>
      <w:r w:rsidRPr="0072314F">
        <w:rPr>
          <w:rFonts w:ascii="Arial" w:hAnsi="Arial" w:cs="Arial"/>
        </w:rPr>
        <w:t>StExYB</w:t>
      </w:r>
      <w:proofErr w:type="spellEnd"/>
      <w:r w:rsidRPr="0072314F">
        <w:rPr>
          <w:rFonts w:ascii="Arial" w:hAnsi="Arial" w:cs="Arial"/>
        </w:rPr>
        <w:t>, which a</w:t>
      </w:r>
      <w:r w:rsidR="00251E2B" w:rsidRPr="0072314F">
        <w:rPr>
          <w:rFonts w:ascii="Arial" w:hAnsi="Arial" w:cs="Arial"/>
        </w:rPr>
        <w:t xml:space="preserve">re generally only listed firms. </w:t>
      </w:r>
    </w:p>
    <w:p w14:paraId="3B22FE83" w14:textId="77777777" w:rsidR="008707BA" w:rsidRPr="0072314F" w:rsidRDefault="008707BA" w:rsidP="0072314F">
      <w:pPr>
        <w:jc w:val="both"/>
        <w:rPr>
          <w:rFonts w:ascii="Arial" w:hAnsi="Arial" w:cs="Arial"/>
          <w:lang w:val="en-US"/>
        </w:rPr>
      </w:pPr>
    </w:p>
    <w:p w14:paraId="488AA914" w14:textId="77777777" w:rsidR="00251E2B" w:rsidRPr="0072314F" w:rsidRDefault="000B420F" w:rsidP="0072314F">
      <w:pPr>
        <w:jc w:val="both"/>
        <w:rPr>
          <w:rFonts w:ascii="Arial" w:hAnsi="Arial" w:cs="Arial"/>
        </w:rPr>
      </w:pPr>
      <w:r w:rsidRPr="0072314F">
        <w:rPr>
          <w:rFonts w:ascii="Arial" w:hAnsi="Arial" w:cs="Arial"/>
          <w:u w:val="single"/>
          <w:lang w:val="en-US"/>
        </w:rPr>
        <w:t>F</w:t>
      </w:r>
      <w:r w:rsidR="00301F5B" w:rsidRPr="0072314F">
        <w:rPr>
          <w:rFonts w:ascii="Arial" w:hAnsi="Arial" w:cs="Arial"/>
          <w:u w:val="single"/>
          <w:lang w:val="en-US"/>
        </w:rPr>
        <w:t>or the 2010 sample</w:t>
      </w:r>
      <w:r w:rsidRPr="0072314F">
        <w:rPr>
          <w:rFonts w:ascii="Arial" w:hAnsi="Arial" w:cs="Arial"/>
          <w:lang w:val="en-US"/>
        </w:rPr>
        <w:t>, director data</w:t>
      </w:r>
      <w:r w:rsidR="00301F5B" w:rsidRPr="0072314F">
        <w:rPr>
          <w:rFonts w:ascii="Arial" w:hAnsi="Arial" w:cs="Arial"/>
          <w:lang w:val="en-US"/>
        </w:rPr>
        <w:t xml:space="preserve"> was gathered from </w:t>
      </w:r>
      <w:r w:rsidR="00CD6DBC" w:rsidRPr="0072314F">
        <w:rPr>
          <w:rFonts w:ascii="Arial" w:hAnsi="Arial" w:cs="Arial"/>
          <w:lang w:val="en-US"/>
        </w:rPr>
        <w:t xml:space="preserve">the </w:t>
      </w:r>
      <w:proofErr w:type="spellStart"/>
      <w:r w:rsidR="00CD6DBC" w:rsidRPr="0072314F">
        <w:rPr>
          <w:rFonts w:ascii="Arial" w:hAnsi="Arial" w:cs="Arial"/>
          <w:lang w:val="en-US"/>
        </w:rPr>
        <w:t>BoardEx</w:t>
      </w:r>
      <w:proofErr w:type="spellEnd"/>
      <w:r w:rsidR="00301F5B" w:rsidRPr="0072314F">
        <w:rPr>
          <w:rFonts w:ascii="Arial" w:hAnsi="Arial" w:cs="Arial"/>
          <w:lang w:val="en-US"/>
        </w:rPr>
        <w:t xml:space="preserve"> database. </w:t>
      </w:r>
      <w:r w:rsidR="00CD6DBC" w:rsidRPr="0072314F">
        <w:rPr>
          <w:rFonts w:ascii="Arial" w:hAnsi="Arial" w:cs="Arial"/>
          <w:lang w:val="en-US"/>
        </w:rPr>
        <w:t xml:space="preserve">A list of current directors, i.e. in February 2012, was retrieved using the batch-download feature. This list highlights directors who joined or left the board since the last report date (31/12/2010), which was used to reconstruct the board composition at year-end 2010. As the data exported from </w:t>
      </w:r>
      <w:proofErr w:type="spellStart"/>
      <w:r w:rsidR="00CD6DBC" w:rsidRPr="0072314F">
        <w:rPr>
          <w:rFonts w:ascii="Arial" w:hAnsi="Arial" w:cs="Arial"/>
          <w:lang w:val="en-US"/>
        </w:rPr>
        <w:t>BoardEx</w:t>
      </w:r>
      <w:proofErr w:type="spellEnd"/>
      <w:r w:rsidR="00CD6DBC" w:rsidRPr="0072314F">
        <w:rPr>
          <w:rFonts w:ascii="Arial" w:hAnsi="Arial" w:cs="Arial"/>
          <w:lang w:val="en-US"/>
        </w:rPr>
        <w:t xml:space="preserve"> did not contain a male/female flag, </w:t>
      </w:r>
      <w:r w:rsidR="00553A7A" w:rsidRPr="0072314F">
        <w:rPr>
          <w:rFonts w:ascii="Arial" w:hAnsi="Arial" w:cs="Arial"/>
          <w:lang w:val="en-US"/>
        </w:rPr>
        <w:t>we</w:t>
      </w:r>
      <w:r w:rsidR="00CD6DBC" w:rsidRPr="0072314F">
        <w:rPr>
          <w:rFonts w:ascii="Arial" w:hAnsi="Arial" w:cs="Arial"/>
          <w:lang w:val="en-US"/>
        </w:rPr>
        <w:t xml:space="preserve"> entered this information manually for familiar first names. For ambiguous or unfamiliar names, the gender information was retrieved from </w:t>
      </w:r>
      <w:proofErr w:type="spellStart"/>
      <w:r w:rsidR="00CD6DBC" w:rsidRPr="0072314F">
        <w:rPr>
          <w:rFonts w:ascii="Arial" w:hAnsi="Arial" w:cs="Arial"/>
          <w:lang w:val="en-US"/>
        </w:rPr>
        <w:t>BoardEx</w:t>
      </w:r>
      <w:proofErr w:type="spellEnd"/>
      <w:r w:rsidR="00CD6DBC" w:rsidRPr="0072314F">
        <w:rPr>
          <w:rFonts w:ascii="Arial" w:hAnsi="Arial" w:cs="Arial"/>
          <w:lang w:val="en-US"/>
        </w:rPr>
        <w:t xml:space="preserve"> by searching for the individual in question (</w:t>
      </w:r>
      <w:proofErr w:type="spellStart"/>
      <w:r w:rsidR="00CD6DBC" w:rsidRPr="0072314F">
        <w:rPr>
          <w:rFonts w:ascii="Arial" w:hAnsi="Arial" w:cs="Arial"/>
          <w:lang w:val="en-US"/>
        </w:rPr>
        <w:t>BoardEx’s</w:t>
      </w:r>
      <w:proofErr w:type="spellEnd"/>
      <w:r w:rsidR="00CD6DBC" w:rsidRPr="0072314F">
        <w:rPr>
          <w:rFonts w:ascii="Arial" w:hAnsi="Arial" w:cs="Arial"/>
          <w:lang w:val="en-US"/>
        </w:rPr>
        <w:t xml:space="preserve"> profile page indicates gender).</w:t>
      </w:r>
    </w:p>
    <w:p w14:paraId="0A8534AB" w14:textId="77777777" w:rsidR="00655DEF" w:rsidRPr="0072314F" w:rsidRDefault="00655DEF" w:rsidP="0072314F">
      <w:pPr>
        <w:jc w:val="both"/>
        <w:rPr>
          <w:rFonts w:ascii="Arial" w:hAnsi="Arial" w:cs="Arial"/>
        </w:rPr>
      </w:pPr>
    </w:p>
    <w:p w14:paraId="334233C7" w14:textId="77777777" w:rsidR="00BB3F9B" w:rsidRPr="0072314F" w:rsidRDefault="000B420F" w:rsidP="0072314F">
      <w:pPr>
        <w:jc w:val="both"/>
        <w:rPr>
          <w:rFonts w:ascii="Arial" w:hAnsi="Arial" w:cs="Arial"/>
        </w:rPr>
      </w:pPr>
      <w:r w:rsidRPr="0072314F">
        <w:rPr>
          <w:rFonts w:ascii="Arial" w:hAnsi="Arial" w:cs="Arial"/>
        </w:rPr>
        <w:t xml:space="preserve">Additional information on board appointments in </w:t>
      </w:r>
      <w:r w:rsidRPr="0072314F">
        <w:rPr>
          <w:rFonts w:ascii="Arial" w:hAnsi="Arial" w:cs="Arial"/>
          <w:u w:val="single"/>
        </w:rPr>
        <w:t>1997, 2000 and 2010</w:t>
      </w:r>
      <w:r w:rsidRPr="0072314F">
        <w:rPr>
          <w:rFonts w:ascii="Arial" w:hAnsi="Arial" w:cs="Arial"/>
        </w:rPr>
        <w:t xml:space="preserve"> was retrieved from </w:t>
      </w:r>
      <w:proofErr w:type="spellStart"/>
      <w:r w:rsidRPr="0072314F">
        <w:rPr>
          <w:rFonts w:ascii="Arial" w:hAnsi="Arial" w:cs="Arial"/>
        </w:rPr>
        <w:t>BoardEx</w:t>
      </w:r>
      <w:proofErr w:type="spellEnd"/>
      <w:r w:rsidRPr="0072314F">
        <w:rPr>
          <w:rFonts w:ascii="Arial" w:hAnsi="Arial" w:cs="Arial"/>
        </w:rPr>
        <w:t xml:space="preserve">. This includes </w:t>
      </w:r>
      <w:r w:rsidR="00BB3F9B" w:rsidRPr="0072314F">
        <w:rPr>
          <w:rFonts w:ascii="Arial" w:hAnsi="Arial" w:cs="Arial"/>
        </w:rPr>
        <w:t>specific information regarding</w:t>
      </w:r>
      <w:r w:rsidRPr="0072314F">
        <w:rPr>
          <w:rFonts w:ascii="Arial" w:hAnsi="Arial" w:cs="Arial"/>
        </w:rPr>
        <w:t xml:space="preserve"> the individual</w:t>
      </w:r>
      <w:r w:rsidR="00BB3F9B" w:rsidRPr="0072314F">
        <w:rPr>
          <w:rFonts w:ascii="Arial" w:hAnsi="Arial" w:cs="Arial"/>
        </w:rPr>
        <w:t>’s appointment on the board in that year—executive/</w:t>
      </w:r>
      <w:r w:rsidRPr="0072314F">
        <w:rPr>
          <w:rFonts w:ascii="Arial" w:hAnsi="Arial" w:cs="Arial"/>
        </w:rPr>
        <w:t>non-executive director, role description</w:t>
      </w:r>
      <w:r w:rsidR="00BB3F9B" w:rsidRPr="0072314F">
        <w:rPr>
          <w:rFonts w:ascii="Arial" w:hAnsi="Arial" w:cs="Arial"/>
        </w:rPr>
        <w:t>, independence—as well as general information on the individual, including</w:t>
      </w:r>
      <w:r w:rsidRPr="0072314F">
        <w:rPr>
          <w:rFonts w:ascii="Arial" w:hAnsi="Arial" w:cs="Arial"/>
        </w:rPr>
        <w:t xml:space="preserve"> date of birth, nationality, gender, </w:t>
      </w:r>
      <w:r w:rsidR="00BB3F9B" w:rsidRPr="0072314F">
        <w:rPr>
          <w:rFonts w:ascii="Arial" w:hAnsi="Arial" w:cs="Arial"/>
        </w:rPr>
        <w:t xml:space="preserve">education, achievements and employment history. As there is no unique identifier common to both </w:t>
      </w:r>
      <w:proofErr w:type="spellStart"/>
      <w:r w:rsidR="00BB3F9B" w:rsidRPr="0072314F">
        <w:rPr>
          <w:rFonts w:ascii="Arial" w:hAnsi="Arial" w:cs="Arial"/>
        </w:rPr>
        <w:t>BoardEx</w:t>
      </w:r>
      <w:proofErr w:type="spellEnd"/>
      <w:r w:rsidR="00BB3F9B" w:rsidRPr="0072314F">
        <w:rPr>
          <w:rFonts w:ascii="Arial" w:hAnsi="Arial" w:cs="Arial"/>
        </w:rPr>
        <w:t xml:space="preserve"> and the respective sources of our director data</w:t>
      </w:r>
      <w:r w:rsidR="00F73271" w:rsidRPr="0072314F">
        <w:rPr>
          <w:rFonts w:ascii="Arial" w:hAnsi="Arial" w:cs="Arial"/>
        </w:rPr>
        <w:t>, individuals were matched using a ‘fuzzy lookup’ technique. To reduce the number of false positives, the similarity threshold was set 0.7 (1 representing a perfect match, 0 no likeness), which was found to produce very few bad matches without omitting too many g</w:t>
      </w:r>
      <w:r w:rsidR="0030605B" w:rsidRPr="0072314F">
        <w:rPr>
          <w:rFonts w:ascii="Arial" w:hAnsi="Arial" w:cs="Arial"/>
        </w:rPr>
        <w:t>ood matches.</w:t>
      </w:r>
    </w:p>
    <w:p w14:paraId="0DC920DA" w14:textId="77777777" w:rsidR="0030605B" w:rsidRPr="0072314F" w:rsidRDefault="0030605B" w:rsidP="0072314F">
      <w:pPr>
        <w:jc w:val="both"/>
        <w:rPr>
          <w:rFonts w:ascii="Arial" w:hAnsi="Arial" w:cs="Arial"/>
        </w:rPr>
      </w:pPr>
    </w:p>
    <w:p w14:paraId="77FE1093" w14:textId="77777777" w:rsidR="00B668A9" w:rsidRPr="0072314F" w:rsidRDefault="0030605B" w:rsidP="0072314F">
      <w:pPr>
        <w:jc w:val="both"/>
        <w:rPr>
          <w:rFonts w:ascii="Arial" w:hAnsi="Arial" w:cs="Arial"/>
        </w:rPr>
      </w:pPr>
      <w:proofErr w:type="spellStart"/>
      <w:r w:rsidRPr="0072314F">
        <w:rPr>
          <w:rFonts w:ascii="Arial" w:hAnsi="Arial" w:cs="Arial"/>
        </w:rPr>
        <w:t>BoardEx</w:t>
      </w:r>
      <w:proofErr w:type="spellEnd"/>
      <w:r w:rsidRPr="0072314F">
        <w:rPr>
          <w:rFonts w:ascii="Arial" w:hAnsi="Arial" w:cs="Arial"/>
        </w:rPr>
        <w:t xml:space="preserve"> does not offer data on board appointments before the late 1990s, so no appointment-specific data could be extracted for 1976, 1983 and 1993. </w:t>
      </w:r>
      <w:r w:rsidRPr="0072314F">
        <w:rPr>
          <w:rFonts w:ascii="Arial" w:hAnsi="Arial" w:cs="Arial"/>
        </w:rPr>
        <w:lastRenderedPageBreak/>
        <w:t xml:space="preserve">However, because a significant portion of directors in those samples may still have held the same or other board appointments in the late 1990s, general data on those individuals was extracted from </w:t>
      </w:r>
      <w:proofErr w:type="spellStart"/>
      <w:r w:rsidRPr="0072314F">
        <w:rPr>
          <w:rFonts w:ascii="Arial" w:hAnsi="Arial" w:cs="Arial"/>
        </w:rPr>
        <w:t>BoardEx</w:t>
      </w:r>
      <w:proofErr w:type="spellEnd"/>
      <w:r w:rsidRPr="0072314F">
        <w:rPr>
          <w:rFonts w:ascii="Arial" w:hAnsi="Arial" w:cs="Arial"/>
        </w:rPr>
        <w:t>, including demographics, education, achievements, and employment history. Again, a fuzzy match technique was used as described above.</w:t>
      </w:r>
    </w:p>
    <w:sectPr w:rsidR="00B668A9" w:rsidRPr="0072314F" w:rsidSect="000C436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C2685"/>
    <w:multiLevelType w:val="hybridMultilevel"/>
    <w:tmpl w:val="E1B0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F03C3A"/>
    <w:multiLevelType w:val="hybridMultilevel"/>
    <w:tmpl w:val="8E8A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8413F0"/>
    <w:multiLevelType w:val="hybridMultilevel"/>
    <w:tmpl w:val="BB821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B668A9"/>
    <w:rsid w:val="00040DAE"/>
    <w:rsid w:val="00046231"/>
    <w:rsid w:val="00071919"/>
    <w:rsid w:val="000B420F"/>
    <w:rsid w:val="000C436E"/>
    <w:rsid w:val="000D7962"/>
    <w:rsid w:val="000E4D9E"/>
    <w:rsid w:val="000E7044"/>
    <w:rsid w:val="00240BC4"/>
    <w:rsid w:val="00251E2B"/>
    <w:rsid w:val="00297143"/>
    <w:rsid w:val="002E2378"/>
    <w:rsid w:val="00301F5B"/>
    <w:rsid w:val="0030605B"/>
    <w:rsid w:val="003368ED"/>
    <w:rsid w:val="00396BE2"/>
    <w:rsid w:val="003F002A"/>
    <w:rsid w:val="004919A1"/>
    <w:rsid w:val="004F33EE"/>
    <w:rsid w:val="00541AEC"/>
    <w:rsid w:val="0054499F"/>
    <w:rsid w:val="00553A7A"/>
    <w:rsid w:val="00592257"/>
    <w:rsid w:val="005F3594"/>
    <w:rsid w:val="00604E04"/>
    <w:rsid w:val="00655DEF"/>
    <w:rsid w:val="00662080"/>
    <w:rsid w:val="0068001F"/>
    <w:rsid w:val="006C3E0A"/>
    <w:rsid w:val="00712825"/>
    <w:rsid w:val="0072314F"/>
    <w:rsid w:val="00790E67"/>
    <w:rsid w:val="00864120"/>
    <w:rsid w:val="008707BA"/>
    <w:rsid w:val="00892EA0"/>
    <w:rsid w:val="008A2F27"/>
    <w:rsid w:val="008D7B37"/>
    <w:rsid w:val="00924975"/>
    <w:rsid w:val="00931A34"/>
    <w:rsid w:val="00944BC0"/>
    <w:rsid w:val="00952916"/>
    <w:rsid w:val="009630F0"/>
    <w:rsid w:val="009705EC"/>
    <w:rsid w:val="009A63E8"/>
    <w:rsid w:val="009B5485"/>
    <w:rsid w:val="009F0C9B"/>
    <w:rsid w:val="009F5504"/>
    <w:rsid w:val="00A3524E"/>
    <w:rsid w:val="00AE1721"/>
    <w:rsid w:val="00AE18FE"/>
    <w:rsid w:val="00B233B1"/>
    <w:rsid w:val="00B353E9"/>
    <w:rsid w:val="00B546DB"/>
    <w:rsid w:val="00B668A9"/>
    <w:rsid w:val="00BB3F9B"/>
    <w:rsid w:val="00C6779F"/>
    <w:rsid w:val="00C8212C"/>
    <w:rsid w:val="00CD6DBC"/>
    <w:rsid w:val="00D62D0D"/>
    <w:rsid w:val="00D955B6"/>
    <w:rsid w:val="00D9714E"/>
    <w:rsid w:val="00E30BC2"/>
    <w:rsid w:val="00E740D3"/>
    <w:rsid w:val="00E97F08"/>
    <w:rsid w:val="00EA0EBE"/>
    <w:rsid w:val="00F21976"/>
    <w:rsid w:val="00F73271"/>
    <w:rsid w:val="00F769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57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68A9"/>
    <w:pPr>
      <w:ind w:left="720"/>
      <w:contextualSpacing/>
    </w:pPr>
  </w:style>
  <w:style w:type="paragraph" w:styleId="NormalWeb">
    <w:name w:val="Normal (Web)"/>
    <w:basedOn w:val="Normal"/>
    <w:uiPriority w:val="99"/>
    <w:semiHidden/>
    <w:unhideWhenUsed/>
    <w:rsid w:val="00AE18FE"/>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A3524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524E"/>
    <w:rPr>
      <w:rFonts w:ascii="Lucida Grande" w:hAnsi="Lucida Grande" w:cs="Lucida Grande"/>
      <w:sz w:val="18"/>
      <w:szCs w:val="18"/>
    </w:rPr>
  </w:style>
  <w:style w:type="paragraph" w:styleId="Titre">
    <w:name w:val="Title"/>
    <w:basedOn w:val="Normal"/>
    <w:next w:val="Normal"/>
    <w:link w:val="TitreCar"/>
    <w:uiPriority w:val="10"/>
    <w:qFormat/>
    <w:rsid w:val="007231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2314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68A9"/>
    <w:pPr>
      <w:ind w:left="720"/>
      <w:contextualSpacing/>
    </w:pPr>
  </w:style>
  <w:style w:type="paragraph" w:styleId="NormalWeb">
    <w:name w:val="Normal (Web)"/>
    <w:basedOn w:val="Normal"/>
    <w:uiPriority w:val="99"/>
    <w:semiHidden/>
    <w:unhideWhenUsed/>
    <w:rsid w:val="00AE18FE"/>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A3524E"/>
    <w:rPr>
      <w:rFonts w:ascii="Lucida Grande" w:hAnsi="Lucida Grande" w:cs="Lucida Grande"/>
      <w:sz w:val="18"/>
      <w:szCs w:val="18"/>
    </w:rPr>
  </w:style>
  <w:style w:type="character" w:customStyle="1" w:styleId="TextedebullesCar">
    <w:name w:val="Balloon Text Char"/>
    <w:basedOn w:val="Policepardfaut"/>
    <w:link w:val="Textedebulles"/>
    <w:uiPriority w:val="99"/>
    <w:semiHidden/>
    <w:rsid w:val="00A3524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855664">
      <w:bodyDiv w:val="1"/>
      <w:marLeft w:val="0"/>
      <w:marRight w:val="0"/>
      <w:marTop w:val="0"/>
      <w:marBottom w:val="0"/>
      <w:divBdr>
        <w:top w:val="none" w:sz="0" w:space="0" w:color="auto"/>
        <w:left w:val="none" w:sz="0" w:space="0" w:color="auto"/>
        <w:bottom w:val="none" w:sz="0" w:space="0" w:color="auto"/>
        <w:right w:val="none" w:sz="0" w:space="0" w:color="auto"/>
      </w:divBdr>
    </w:div>
    <w:div w:id="1720938785">
      <w:bodyDiv w:val="1"/>
      <w:marLeft w:val="0"/>
      <w:marRight w:val="0"/>
      <w:marTop w:val="0"/>
      <w:marBottom w:val="0"/>
      <w:divBdr>
        <w:top w:val="none" w:sz="0" w:space="0" w:color="auto"/>
        <w:left w:val="none" w:sz="0" w:space="0" w:color="auto"/>
        <w:bottom w:val="none" w:sz="0" w:space="0" w:color="auto"/>
        <w:right w:val="none" w:sz="0" w:space="0" w:color="auto"/>
      </w:divBdr>
      <w:divsChild>
        <w:div w:id="1891728699">
          <w:marLeft w:val="0"/>
          <w:marRight w:val="0"/>
          <w:marTop w:val="0"/>
          <w:marBottom w:val="0"/>
          <w:divBdr>
            <w:top w:val="none" w:sz="0" w:space="0" w:color="auto"/>
            <w:left w:val="none" w:sz="0" w:space="0" w:color="auto"/>
            <w:bottom w:val="none" w:sz="0" w:space="0" w:color="auto"/>
            <w:right w:val="none" w:sz="0" w:space="0" w:color="auto"/>
          </w:divBdr>
          <w:divsChild>
            <w:div w:id="1752893660">
              <w:marLeft w:val="0"/>
              <w:marRight w:val="0"/>
              <w:marTop w:val="0"/>
              <w:marBottom w:val="0"/>
              <w:divBdr>
                <w:top w:val="none" w:sz="0" w:space="0" w:color="auto"/>
                <w:left w:val="none" w:sz="0" w:space="0" w:color="auto"/>
                <w:bottom w:val="none" w:sz="0" w:space="0" w:color="auto"/>
                <w:right w:val="none" w:sz="0" w:space="0" w:color="auto"/>
              </w:divBdr>
              <w:divsChild>
                <w:div w:id="1403482630">
                  <w:marLeft w:val="0"/>
                  <w:marRight w:val="0"/>
                  <w:marTop w:val="0"/>
                  <w:marBottom w:val="0"/>
                  <w:divBdr>
                    <w:top w:val="none" w:sz="0" w:space="0" w:color="auto"/>
                    <w:left w:val="none" w:sz="0" w:space="0" w:color="auto"/>
                    <w:bottom w:val="none" w:sz="0" w:space="0" w:color="auto"/>
                    <w:right w:val="none" w:sz="0" w:space="0" w:color="auto"/>
                  </w:divBdr>
                  <w:divsChild>
                    <w:div w:id="742332640">
                      <w:marLeft w:val="0"/>
                      <w:marRight w:val="0"/>
                      <w:marTop w:val="0"/>
                      <w:marBottom w:val="0"/>
                      <w:divBdr>
                        <w:top w:val="single" w:sz="2" w:space="0" w:color="FFFF00"/>
                        <w:left w:val="single" w:sz="2" w:space="0" w:color="FFFF00"/>
                        <w:bottom w:val="single" w:sz="2" w:space="0" w:color="FFFF00"/>
                        <w:right w:val="single" w:sz="2" w:space="0" w:color="FFFF00"/>
                      </w:divBdr>
                      <w:divsChild>
                        <w:div w:id="1758596071">
                          <w:marLeft w:val="0"/>
                          <w:marRight w:val="0"/>
                          <w:marTop w:val="0"/>
                          <w:marBottom w:val="0"/>
                          <w:divBdr>
                            <w:top w:val="none" w:sz="0" w:space="0" w:color="auto"/>
                            <w:left w:val="none" w:sz="0" w:space="0" w:color="auto"/>
                            <w:bottom w:val="none" w:sz="0" w:space="0" w:color="auto"/>
                            <w:right w:val="none" w:sz="0" w:space="0" w:color="auto"/>
                          </w:divBdr>
                          <w:divsChild>
                            <w:div w:id="1016613769">
                              <w:marLeft w:val="0"/>
                              <w:marRight w:val="0"/>
                              <w:marTop w:val="0"/>
                              <w:marBottom w:val="0"/>
                              <w:divBdr>
                                <w:top w:val="single" w:sz="4" w:space="0" w:color="6D819D"/>
                                <w:left w:val="single" w:sz="4" w:space="0" w:color="6D819D"/>
                                <w:bottom w:val="single" w:sz="4" w:space="0" w:color="6D819D"/>
                                <w:right w:val="single" w:sz="4" w:space="0" w:color="6D819D"/>
                              </w:divBdr>
                              <w:divsChild>
                                <w:div w:id="6148714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23883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1283</Words>
  <Characters>7057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Kern</dc:creator>
  <cp:keywords/>
  <dc:description/>
  <cp:lastModifiedBy>Nicole Morand Aghroum</cp:lastModifiedBy>
  <cp:revision>8</cp:revision>
  <dcterms:created xsi:type="dcterms:W3CDTF">2013-07-04T13:56:00Z</dcterms:created>
  <dcterms:modified xsi:type="dcterms:W3CDTF">2015-04-07T12:48:00Z</dcterms:modified>
</cp:coreProperties>
</file>