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C8B7F" w14:textId="43AD7C28" w:rsidR="006D10B1" w:rsidRPr="00A6289E" w:rsidRDefault="00C05264" w:rsidP="00200EEC">
      <w:pPr>
        <w:pStyle w:val="Titre"/>
        <w:rPr>
          <w:lang w:val="en-US"/>
        </w:rPr>
      </w:pPr>
      <w:r>
        <w:rPr>
          <w:lang w:val="en-US"/>
        </w:rPr>
        <w:t>Arge</w:t>
      </w:r>
      <w:bookmarkStart w:id="0" w:name="_GoBack"/>
      <w:bookmarkEnd w:id="0"/>
      <w:r>
        <w:rPr>
          <w:lang w:val="en-US"/>
        </w:rPr>
        <w:t xml:space="preserve">ntina </w:t>
      </w:r>
      <w:r w:rsidR="00200EEC">
        <w:rPr>
          <w:lang w:val="en-US"/>
        </w:rPr>
        <w:t>Sources and Methods</w:t>
      </w:r>
    </w:p>
    <w:p w14:paraId="06A087F1" w14:textId="77777777" w:rsidR="006D10B1" w:rsidRPr="00697D51" w:rsidRDefault="00497673" w:rsidP="001D414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97D51">
        <w:rPr>
          <w:rFonts w:ascii="Times New Roman" w:hAnsi="Times New Roman" w:cs="Times New Roman"/>
          <w:b/>
          <w:i/>
          <w:sz w:val="24"/>
          <w:szCs w:val="24"/>
          <w:lang w:val="en-US"/>
        </w:rPr>
        <w:t>Sample characteristics and sources</w:t>
      </w:r>
    </w:p>
    <w:p w14:paraId="28612921" w14:textId="4E469D70" w:rsidR="009B2C46" w:rsidRDefault="002323C7" w:rsidP="001D4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 xml:space="preserve">To conduct the 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 xml:space="preserve"> for this chapter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, we </w:t>
      </w:r>
      <w:r w:rsidR="008D1976">
        <w:rPr>
          <w:rFonts w:ascii="Times New Roman" w:hAnsi="Times New Roman" w:cs="Times New Roman"/>
          <w:sz w:val="24"/>
          <w:szCs w:val="24"/>
          <w:lang w:val="en-US"/>
        </w:rPr>
        <w:t>collected information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of the 100 largest </w:t>
      </w:r>
      <w:r w:rsidR="00AE13C7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non-financial </w:t>
      </w:r>
      <w:r w:rsidR="00166F85" w:rsidRPr="00D82F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66F85">
        <w:rPr>
          <w:rFonts w:ascii="Times New Roman" w:hAnsi="Times New Roman" w:cs="Times New Roman"/>
          <w:sz w:val="24"/>
          <w:szCs w:val="24"/>
          <w:lang w:val="en-US"/>
        </w:rPr>
        <w:t>orporations</w:t>
      </w:r>
      <w:r w:rsidR="00166F85">
        <w:rPr>
          <w:rStyle w:val="Marquenotebasdepage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>, according to their</w:t>
      </w:r>
      <w:r w:rsidR="003B741D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1CE">
        <w:rPr>
          <w:rFonts w:ascii="Times New Roman" w:hAnsi="Times New Roman" w:cs="Times New Roman"/>
          <w:sz w:val="24"/>
          <w:szCs w:val="24"/>
          <w:lang w:val="en-US"/>
        </w:rPr>
        <w:t xml:space="preserve">share </w:t>
      </w:r>
      <w:r w:rsidR="009F07F2" w:rsidRPr="00A101CE">
        <w:rPr>
          <w:rFonts w:ascii="Times New Roman" w:hAnsi="Times New Roman" w:cs="Times New Roman"/>
          <w:i/>
          <w:sz w:val="24"/>
          <w:szCs w:val="24"/>
          <w:lang w:val="en-US"/>
        </w:rPr>
        <w:t>capital</w:t>
      </w:r>
      <w:r w:rsidR="009F07F2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158D7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benchmark </w:t>
      </w:r>
      <w:r w:rsidR="00F158D7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(1923, 1937, 1944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and 1954)</w:t>
      </w:r>
      <w:r w:rsidR="009B2C4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248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B2C46">
        <w:rPr>
          <w:rFonts w:ascii="Times New Roman" w:hAnsi="Times New Roman" w:cs="Times New Roman"/>
          <w:sz w:val="24"/>
          <w:szCs w:val="24"/>
          <w:lang w:val="en-US"/>
        </w:rPr>
        <w:t>their annual sales at</w:t>
      </w:r>
      <w:r w:rsidR="00112486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9B2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C8">
        <w:rPr>
          <w:rFonts w:ascii="Times New Roman" w:hAnsi="Times New Roman" w:cs="Times New Roman"/>
          <w:sz w:val="24"/>
          <w:szCs w:val="24"/>
          <w:lang w:val="en-US"/>
        </w:rPr>
        <w:t>three-benchmark</w:t>
      </w:r>
      <w:r w:rsidR="009B2C46">
        <w:rPr>
          <w:rFonts w:ascii="Times New Roman" w:hAnsi="Times New Roman" w:cs="Times New Roman"/>
          <w:sz w:val="24"/>
          <w:szCs w:val="24"/>
          <w:lang w:val="en-US"/>
        </w:rPr>
        <w:t xml:space="preserve"> years (1970, 1990 and 2000)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6F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E26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The choice of these seven </w:t>
      </w:r>
      <w:r w:rsidR="00321E26">
        <w:rPr>
          <w:rFonts w:ascii="Times New Roman" w:hAnsi="Times New Roman" w:cs="Times New Roman"/>
          <w:sz w:val="24"/>
          <w:szCs w:val="24"/>
          <w:lang w:val="en-US"/>
        </w:rPr>
        <w:t xml:space="preserve">benchmark </w:t>
      </w:r>
      <w:r w:rsidR="00321E26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years primarily </w:t>
      </w:r>
      <w:r w:rsidR="00321E26">
        <w:rPr>
          <w:rFonts w:ascii="Times New Roman" w:hAnsi="Times New Roman" w:cs="Times New Roman"/>
          <w:sz w:val="24"/>
          <w:szCs w:val="24"/>
          <w:lang w:val="en-US"/>
        </w:rPr>
        <w:t xml:space="preserve">reflects the </w:t>
      </w:r>
      <w:r w:rsidR="00321E26" w:rsidRPr="00D82F2E">
        <w:rPr>
          <w:rFonts w:ascii="Times New Roman" w:hAnsi="Times New Roman" w:cs="Times New Roman"/>
          <w:sz w:val="24"/>
          <w:szCs w:val="24"/>
          <w:lang w:val="en-US"/>
        </w:rPr>
        <w:t>different stages in Argentina’s economic history, but it also factored in data availability</w:t>
      </w:r>
      <w:r w:rsidR="00321E26">
        <w:rPr>
          <w:rFonts w:ascii="Times New Roman" w:hAnsi="Times New Roman" w:cs="Times New Roman"/>
          <w:sz w:val="24"/>
          <w:szCs w:val="24"/>
          <w:lang w:val="en-US"/>
        </w:rPr>
        <w:t xml:space="preserve">, in that </w:t>
      </w:r>
      <w:r w:rsidR="00321E26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board membership information is not readily </w:t>
      </w:r>
      <w:r w:rsidR="00321E26">
        <w:rPr>
          <w:rFonts w:ascii="Times New Roman" w:hAnsi="Times New Roman" w:cs="Times New Roman"/>
          <w:sz w:val="24"/>
          <w:szCs w:val="24"/>
          <w:lang w:val="en-US"/>
        </w:rPr>
        <w:t xml:space="preserve">or systematically </w:t>
      </w:r>
      <w:r w:rsidR="00321E26" w:rsidRPr="00D82F2E">
        <w:rPr>
          <w:rFonts w:ascii="Times New Roman" w:hAnsi="Times New Roman" w:cs="Times New Roman"/>
          <w:sz w:val="24"/>
          <w:szCs w:val="24"/>
          <w:lang w:val="en-US"/>
        </w:rPr>
        <w:t>available for most of the century</w:t>
      </w:r>
      <w:r w:rsidR="00321E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64B78E" w14:textId="1A39DE49" w:rsidR="00112486" w:rsidRPr="00112486" w:rsidRDefault="009B2C46" w:rsidP="001D4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F0C3B">
        <w:rPr>
          <w:rFonts w:ascii="Times New Roman" w:eastAsia="Times New Roman" w:hAnsi="Times New Roman" w:cs="Times New Roman"/>
          <w:sz w:val="24"/>
          <w:szCs w:val="24"/>
          <w:lang w:val="en-US"/>
        </w:rPr>
        <w:t>In order 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identify </w:t>
      </w:r>
      <w:r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8F0C3B">
        <w:rPr>
          <w:rFonts w:ascii="Times New Roman" w:eastAsia="Times New Roman" w:hAnsi="Times New Roman" w:cs="Times New Roman"/>
          <w:sz w:val="24"/>
          <w:szCs w:val="24"/>
          <w:lang w:val="en-US"/>
        </w:rPr>
        <w:t>larges</w:t>
      </w:r>
      <w:r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companies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period 1923-1954, w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en-US"/>
        </w:rPr>
        <w:t>systematized information provided by</w:t>
      </w:r>
      <w:r w:rsidR="002D6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>Guía</w:t>
      </w:r>
      <w:proofErr w:type="spellEnd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>Sociedades</w:t>
      </w:r>
      <w:proofErr w:type="spellEnd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>Anónimas</w:t>
      </w:r>
      <w:proofErr w:type="spellEnd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>Responsabilidad</w:t>
      </w:r>
      <w:proofErr w:type="spellEnd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>Limitada</w:t>
      </w:r>
      <w:proofErr w:type="spellEnd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</w:t>
      </w:r>
      <w:proofErr w:type="spellStart"/>
      <w:r w:rsidRPr="00D82F2E">
        <w:rPr>
          <w:rFonts w:ascii="Times New Roman" w:hAnsi="Times New Roman" w:cs="Times New Roman"/>
          <w:i/>
          <w:sz w:val="24"/>
          <w:szCs w:val="24"/>
          <w:lang w:val="en-US"/>
        </w:rPr>
        <w:t>Cooperativas</w:t>
      </w:r>
      <w:proofErr w:type="spellEnd"/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(1923, 1937, 1945</w:t>
      </w:r>
      <w:r w:rsidR="005744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74408" w:rsidRPr="0009016F">
        <w:rPr>
          <w:rFonts w:ascii="Times New Roman" w:hAnsi="Times New Roman" w:cs="Times New Roman"/>
          <w:i/>
          <w:sz w:val="24"/>
          <w:szCs w:val="24"/>
          <w:lang w:val="en-US"/>
        </w:rPr>
        <w:t>Guía</w:t>
      </w:r>
      <w:proofErr w:type="spellEnd"/>
      <w:r w:rsidR="00574408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 </w:t>
      </w:r>
      <w:proofErr w:type="spellStart"/>
      <w:r w:rsidR="00574408" w:rsidRPr="0009016F">
        <w:rPr>
          <w:rFonts w:ascii="Times New Roman" w:hAnsi="Times New Roman" w:cs="Times New Roman"/>
          <w:i/>
          <w:sz w:val="24"/>
          <w:szCs w:val="24"/>
          <w:lang w:val="en-US"/>
        </w:rPr>
        <w:t>Accionista</w:t>
      </w:r>
      <w:proofErr w:type="spellEnd"/>
      <w:r w:rsidR="00574408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574408" w:rsidRPr="0009016F">
        <w:rPr>
          <w:rFonts w:ascii="Times New Roman" w:hAnsi="Times New Roman" w:cs="Times New Roman"/>
          <w:i/>
          <w:sz w:val="24"/>
          <w:szCs w:val="24"/>
          <w:lang w:val="en-US"/>
        </w:rPr>
        <w:t>Sociedades</w:t>
      </w:r>
      <w:proofErr w:type="spellEnd"/>
      <w:r w:rsidR="00574408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74408" w:rsidRPr="0009016F">
        <w:rPr>
          <w:rFonts w:ascii="Times New Roman" w:hAnsi="Times New Roman" w:cs="Times New Roman"/>
          <w:i/>
          <w:sz w:val="24"/>
          <w:szCs w:val="24"/>
          <w:lang w:val="en-US"/>
        </w:rPr>
        <w:t>Anónimas</w:t>
      </w:r>
      <w:proofErr w:type="spellEnd"/>
      <w:r w:rsidR="0057440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4408" w:rsidRPr="009C5FE7">
        <w:rPr>
          <w:rFonts w:ascii="Times New Roman" w:hAnsi="Times New Roman" w:cs="Times New Roman"/>
          <w:sz w:val="24"/>
          <w:szCs w:val="24"/>
          <w:lang w:val="en-US"/>
        </w:rPr>
        <w:t>1954 issue</w:t>
      </w:r>
      <w:r w:rsidRPr="00574408"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Additionally</w:t>
      </w:r>
      <w:r w:rsidR="001124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relied on </w:t>
      </w:r>
      <w:r w:rsidR="00652CC6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 </w:t>
      </w:r>
      <w:proofErr w:type="spellStart"/>
      <w:r w:rsidR="00652CC6" w:rsidRPr="0009016F">
        <w:rPr>
          <w:rFonts w:ascii="Times New Roman" w:hAnsi="Times New Roman" w:cs="Times New Roman"/>
          <w:i/>
          <w:sz w:val="24"/>
          <w:szCs w:val="24"/>
          <w:lang w:val="en-US"/>
        </w:rPr>
        <w:t>Avisador</w:t>
      </w:r>
      <w:proofErr w:type="spellEnd"/>
      <w:r w:rsidR="00652CC6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52CC6" w:rsidRPr="0009016F">
        <w:rPr>
          <w:rFonts w:ascii="Times New Roman" w:hAnsi="Times New Roman" w:cs="Times New Roman"/>
          <w:i/>
          <w:sz w:val="24"/>
          <w:szCs w:val="24"/>
          <w:lang w:val="en-US"/>
        </w:rPr>
        <w:t>Mercan</w:t>
      </w:r>
      <w:r w:rsidR="00803542" w:rsidRPr="0009016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652CC6" w:rsidRPr="0009016F">
        <w:rPr>
          <w:rFonts w:ascii="Times New Roman" w:hAnsi="Times New Roman" w:cs="Times New Roman"/>
          <w:i/>
          <w:sz w:val="24"/>
          <w:szCs w:val="24"/>
          <w:lang w:val="en-US"/>
        </w:rPr>
        <w:t>il</w:t>
      </w:r>
      <w:proofErr w:type="spellEnd"/>
      <w:r w:rsidR="00652CC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F46BE2" w:rsidRPr="000901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Veritas</w:t>
      </w:r>
      <w:proofErr w:type="spellEnd"/>
      <w:r w:rsidR="00F46BE2"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03C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F46BE2"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>1923</w:t>
      </w:r>
      <w:r w:rsidR="009F74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46BE2"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>1937</w:t>
      </w:r>
      <w:r w:rsidR="009F74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1945</w:t>
      </w:r>
      <w:r w:rsidR="00B803C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46BE2"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03CE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41E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A93D7F">
        <w:rPr>
          <w:rFonts w:ascii="Times New Roman" w:eastAsia="Times New Roman" w:hAnsi="Times New Roman" w:cs="Times New Roman"/>
          <w:sz w:val="24"/>
          <w:szCs w:val="24"/>
          <w:lang w:val="en-US"/>
        </w:rPr>
        <w:t>ompare the</w:t>
      </w:r>
      <w:r w:rsidR="00F741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information </w:t>
      </w:r>
      <w:r w:rsidR="00E1458B">
        <w:rPr>
          <w:rFonts w:ascii="Times New Roman" w:eastAsia="Times New Roman" w:hAnsi="Times New Roman" w:cs="Times New Roman"/>
          <w:sz w:val="24"/>
          <w:szCs w:val="24"/>
          <w:lang w:val="en-US"/>
        </w:rPr>
        <w:t>about corporations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</w:t>
      </w:r>
      <w:r w:rsidRPr="00D82F2E">
        <w:rPr>
          <w:rFonts w:ascii="Times New Roman" w:eastAsia="Times New Roman" w:hAnsi="Times New Roman" w:cs="Times New Roman"/>
          <w:sz w:val="24"/>
          <w:szCs w:val="24"/>
          <w:lang w:val="en-US"/>
        </w:rPr>
        <w:t>capital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>For the other benchmark years (</w:t>
      </w:r>
      <w:r w:rsidR="001231D0">
        <w:rPr>
          <w:rFonts w:ascii="Times New Roman" w:hAnsi="Times New Roman" w:cs="Times New Roman"/>
          <w:sz w:val="24"/>
          <w:szCs w:val="24"/>
          <w:lang w:val="en-US"/>
        </w:rPr>
        <w:t xml:space="preserve">1956, 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>1970, 1990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and 2000)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we used the </w:t>
      </w:r>
      <w:r w:rsidR="004F41EE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ranking of 100 largest companies </w:t>
      </w:r>
      <w:r w:rsidR="003B741D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73584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annual </w:t>
      </w:r>
      <w:r w:rsidR="003B741D" w:rsidRPr="005F08F6">
        <w:rPr>
          <w:rFonts w:ascii="Times New Roman" w:hAnsi="Times New Roman" w:cs="Times New Roman"/>
          <w:i/>
          <w:sz w:val="24"/>
          <w:szCs w:val="24"/>
          <w:lang w:val="en-US"/>
        </w:rPr>
        <w:t>sales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 xml:space="preserve">, as </w:t>
      </w:r>
      <w:r w:rsidR="006D10B1" w:rsidRPr="00D82F2E">
        <w:rPr>
          <w:rFonts w:ascii="Times New Roman" w:hAnsi="Times New Roman" w:cs="Times New Roman"/>
          <w:sz w:val="24"/>
          <w:szCs w:val="24"/>
          <w:lang w:val="en-US"/>
        </w:rPr>
        <w:t>provided by</w:t>
      </w:r>
      <w:r w:rsidR="003B741D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D95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Panorama de la </w:t>
      </w:r>
      <w:proofErr w:type="spellStart"/>
      <w:r w:rsidR="00700D95" w:rsidRPr="0009016F">
        <w:rPr>
          <w:rFonts w:ascii="Times New Roman" w:hAnsi="Times New Roman" w:cs="Times New Roman"/>
          <w:i/>
          <w:sz w:val="24"/>
          <w:szCs w:val="24"/>
          <w:lang w:val="en-US"/>
        </w:rPr>
        <w:t>Economía</w:t>
      </w:r>
      <w:proofErr w:type="spellEnd"/>
      <w:r w:rsidR="00700D95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Argentina</w:t>
      </w:r>
      <w:r w:rsidR="001231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158D7" w:rsidRPr="0009016F">
        <w:rPr>
          <w:rFonts w:ascii="Times New Roman" w:hAnsi="Times New Roman" w:cs="Times New Roman"/>
          <w:i/>
          <w:sz w:val="24"/>
          <w:szCs w:val="24"/>
          <w:lang w:val="en-US"/>
        </w:rPr>
        <w:t>Mercado</w:t>
      </w:r>
      <w:r w:rsidR="00F158D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3B741D" w:rsidRPr="0009016F">
        <w:rPr>
          <w:rFonts w:ascii="Times New Roman" w:hAnsi="Times New Roman" w:cs="Times New Roman"/>
          <w:i/>
          <w:sz w:val="24"/>
          <w:szCs w:val="24"/>
          <w:lang w:val="en-US"/>
        </w:rPr>
        <w:t>Prensa</w:t>
      </w:r>
      <w:proofErr w:type="spellEnd"/>
      <w:r w:rsidR="003B741D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B741D" w:rsidRPr="0009016F">
        <w:rPr>
          <w:rFonts w:ascii="Times New Roman" w:hAnsi="Times New Roman" w:cs="Times New Roman"/>
          <w:i/>
          <w:sz w:val="24"/>
          <w:szCs w:val="24"/>
          <w:lang w:val="en-US"/>
        </w:rPr>
        <w:t>Econ</w:t>
      </w:r>
      <w:r w:rsidR="0019010E" w:rsidRPr="0009016F">
        <w:rPr>
          <w:rFonts w:ascii="Times New Roman" w:hAnsi="Times New Roman" w:cs="Times New Roman"/>
          <w:i/>
          <w:sz w:val="24"/>
          <w:szCs w:val="24"/>
          <w:lang w:val="en-US"/>
        </w:rPr>
        <w:t>ó</w:t>
      </w:r>
      <w:r w:rsidR="003B741D" w:rsidRPr="0009016F">
        <w:rPr>
          <w:rFonts w:ascii="Times New Roman" w:hAnsi="Times New Roman" w:cs="Times New Roman"/>
          <w:i/>
          <w:sz w:val="24"/>
          <w:szCs w:val="24"/>
          <w:lang w:val="en-US"/>
        </w:rPr>
        <w:t>mica</w:t>
      </w:r>
      <w:proofErr w:type="spellEnd"/>
      <w:r w:rsidR="003B741D" w:rsidRPr="00D82F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0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89D8E2" w14:textId="1F3170F0" w:rsidR="00E86200" w:rsidRPr="0038451A" w:rsidRDefault="005D0654" w:rsidP="001D4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0C3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86200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e collected data on board composition </w:t>
      </w:r>
      <w:r w:rsidR="006B3F42">
        <w:rPr>
          <w:rFonts w:ascii="Times New Roman" w:hAnsi="Times New Roman" w:cs="Times New Roman"/>
          <w:sz w:val="24"/>
          <w:szCs w:val="24"/>
          <w:lang w:val="en-US"/>
        </w:rPr>
        <w:t xml:space="preserve">(considering </w:t>
      </w:r>
      <w:r w:rsidR="008E1E9D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6B3F42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titular </w:t>
      </w:r>
      <w:r w:rsidR="006B3F42" w:rsidRPr="00683E2B">
        <w:rPr>
          <w:rFonts w:ascii="Times New Roman" w:hAnsi="Times New Roman" w:cs="Times New Roman"/>
          <w:bCs/>
          <w:sz w:val="24"/>
          <w:szCs w:val="24"/>
          <w:lang w:val="en-US"/>
        </w:rPr>
        <w:t>members</w:t>
      </w:r>
      <w:r w:rsidR="00FB0B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syndics</w:t>
      </w:r>
      <w:r w:rsidR="006B3F42" w:rsidRPr="00FB0B1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6B3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58B">
        <w:rPr>
          <w:rFonts w:ascii="Times New Roman" w:hAnsi="Times New Roman" w:cs="Times New Roman"/>
          <w:sz w:val="24"/>
          <w:szCs w:val="24"/>
          <w:lang w:val="en-US"/>
        </w:rPr>
        <w:t xml:space="preserve">of the largest corporations </w:t>
      </w:r>
      <w:r w:rsidR="001231D0">
        <w:rPr>
          <w:rFonts w:ascii="Times New Roman" w:hAnsi="Times New Roman" w:cs="Times New Roman"/>
          <w:sz w:val="24"/>
          <w:szCs w:val="24"/>
          <w:lang w:val="en-US"/>
        </w:rPr>
        <w:t>for the period 1923 to 195</w:t>
      </w:r>
      <w:r w:rsidR="0064640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F0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200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proofErr w:type="spellStart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>Guía</w:t>
      </w:r>
      <w:proofErr w:type="spellEnd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>Sociedades</w:t>
      </w:r>
      <w:proofErr w:type="spellEnd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>Anónimas</w:t>
      </w:r>
      <w:proofErr w:type="spellEnd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>Responsabilidad</w:t>
      </w:r>
      <w:proofErr w:type="spellEnd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>Limitada</w:t>
      </w:r>
      <w:proofErr w:type="spellEnd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</w:t>
      </w:r>
      <w:proofErr w:type="spellStart"/>
      <w:r w:rsidR="00E86200" w:rsidRPr="00D82F2E">
        <w:rPr>
          <w:rFonts w:ascii="Times New Roman" w:hAnsi="Times New Roman" w:cs="Times New Roman"/>
          <w:i/>
          <w:sz w:val="24"/>
          <w:szCs w:val="24"/>
          <w:lang w:val="en-US"/>
        </w:rPr>
        <w:t>Cooperativas</w:t>
      </w:r>
      <w:proofErr w:type="spellEnd"/>
      <w:r w:rsidR="00E86200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(1923, 1937, 1945)</w:t>
      </w:r>
      <w:r w:rsidR="00D7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9F2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D749F2" w:rsidRPr="0009016F">
        <w:rPr>
          <w:rFonts w:ascii="Times New Roman" w:hAnsi="Times New Roman" w:cs="Times New Roman"/>
          <w:i/>
          <w:sz w:val="24"/>
          <w:szCs w:val="24"/>
          <w:lang w:val="en-US"/>
        </w:rPr>
        <w:t>Guía</w:t>
      </w:r>
      <w:proofErr w:type="spellEnd"/>
      <w:r w:rsidR="00D749F2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 </w:t>
      </w:r>
      <w:proofErr w:type="spellStart"/>
      <w:r w:rsidR="00D749F2" w:rsidRPr="0009016F">
        <w:rPr>
          <w:rFonts w:ascii="Times New Roman" w:hAnsi="Times New Roman" w:cs="Times New Roman"/>
          <w:i/>
          <w:sz w:val="24"/>
          <w:szCs w:val="24"/>
          <w:lang w:val="en-US"/>
        </w:rPr>
        <w:t>Accionista</w:t>
      </w:r>
      <w:proofErr w:type="spellEnd"/>
      <w:r w:rsidR="00D749F2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D749F2" w:rsidRPr="0009016F">
        <w:rPr>
          <w:rFonts w:ascii="Times New Roman" w:hAnsi="Times New Roman" w:cs="Times New Roman"/>
          <w:i/>
          <w:sz w:val="24"/>
          <w:szCs w:val="24"/>
          <w:lang w:val="en-US"/>
        </w:rPr>
        <w:t>Sociedades</w:t>
      </w:r>
      <w:proofErr w:type="spellEnd"/>
      <w:r w:rsidR="00D749F2" w:rsidRPr="0009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749F2" w:rsidRPr="0009016F">
        <w:rPr>
          <w:rFonts w:ascii="Times New Roman" w:hAnsi="Times New Roman" w:cs="Times New Roman"/>
          <w:i/>
          <w:sz w:val="24"/>
          <w:szCs w:val="24"/>
          <w:lang w:val="en-US"/>
        </w:rPr>
        <w:t>Anónimas</w:t>
      </w:r>
      <w:proofErr w:type="spellEnd"/>
      <w:r w:rsidR="00D749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749F2" w:rsidRPr="009C5FE7">
        <w:rPr>
          <w:rFonts w:ascii="Times New Roman" w:hAnsi="Times New Roman" w:cs="Times New Roman"/>
          <w:sz w:val="24"/>
          <w:szCs w:val="24"/>
          <w:lang w:val="en-US"/>
        </w:rPr>
        <w:t>1954 issue</w:t>
      </w:r>
      <w:r w:rsidR="00D749F2" w:rsidRPr="005744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86200" w:rsidRPr="00D82F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200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Board membership data for 1970, 1990 and 2000 came from several sources, including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Guía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Sociedades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Anónimas</w:t>
      </w:r>
      <w:proofErr w:type="spellEnd"/>
      <w:r w:rsidR="00E86200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 (Chamber of Private Corporations, 1972), Dun's 1990 </w:t>
      </w:r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Latin America's Top 25,000</w:t>
      </w:r>
      <w:r w:rsidR="00E86200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Guía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Bancaria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la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República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Argentina</w:t>
      </w:r>
      <w:r w:rsidR="00E86200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 (BCRA 1954),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Bancar</w:t>
      </w:r>
      <w:proofErr w:type="spellEnd"/>
      <w:r w:rsidR="00E86200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 (1973),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Guía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General del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Sistema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Bancario</w:t>
      </w:r>
      <w:proofErr w:type="spellEnd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86200" w:rsidRPr="00FB0B11">
        <w:rPr>
          <w:rFonts w:ascii="Times New Roman" w:hAnsi="Times New Roman" w:cs="Times New Roman"/>
          <w:i/>
          <w:sz w:val="24"/>
          <w:szCs w:val="24"/>
          <w:lang w:val="en-US"/>
        </w:rPr>
        <w:t>Argentino</w:t>
      </w:r>
      <w:proofErr w:type="spellEnd"/>
      <w:r w:rsidR="00E86200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 (1991 issue)</w:t>
      </w:r>
      <w:r w:rsidR="00652CC6">
        <w:rPr>
          <w:rFonts w:ascii="Times New Roman" w:hAnsi="Times New Roman" w:cs="Times New Roman"/>
          <w:sz w:val="24"/>
          <w:szCs w:val="24"/>
          <w:lang w:val="en-US"/>
        </w:rPr>
        <w:t>, among others</w:t>
      </w:r>
      <w:r w:rsidR="004F41EE" w:rsidRPr="00FB0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41EE">
        <w:rPr>
          <w:rFonts w:ascii="Times New Roman" w:hAnsi="Times New Roman" w:cs="Times New Roman"/>
          <w:sz w:val="24"/>
          <w:szCs w:val="24"/>
        </w:rPr>
        <w:t xml:space="preserve">We also collected </w:t>
      </w:r>
      <w:r w:rsidR="00166F85">
        <w:rPr>
          <w:rFonts w:ascii="Times New Roman" w:hAnsi="Times New Roman" w:cs="Times New Roman"/>
          <w:sz w:val="24"/>
          <w:szCs w:val="24"/>
        </w:rPr>
        <w:t xml:space="preserve">nominal </w:t>
      </w:r>
      <w:r w:rsidR="004F41EE">
        <w:rPr>
          <w:rFonts w:ascii="Times New Roman" w:hAnsi="Times New Roman" w:cs="Times New Roman"/>
          <w:sz w:val="24"/>
          <w:szCs w:val="24"/>
        </w:rPr>
        <w:t xml:space="preserve">information of </w:t>
      </w:r>
      <w:r w:rsidR="0096322C">
        <w:rPr>
          <w:rFonts w:ascii="Times New Roman" w:hAnsi="Times New Roman" w:cs="Times New Roman"/>
          <w:sz w:val="24"/>
          <w:szCs w:val="24"/>
        </w:rPr>
        <w:t xml:space="preserve">the </w:t>
      </w:r>
      <w:r w:rsidR="004F41EE">
        <w:rPr>
          <w:rFonts w:ascii="Times New Roman" w:hAnsi="Times New Roman" w:cs="Times New Roman"/>
          <w:sz w:val="24"/>
          <w:szCs w:val="24"/>
        </w:rPr>
        <w:t>boards</w:t>
      </w:r>
      <w:r w:rsidR="0096071C">
        <w:rPr>
          <w:rFonts w:ascii="Times New Roman" w:hAnsi="Times New Roman" w:cs="Times New Roman"/>
          <w:sz w:val="24"/>
          <w:szCs w:val="24"/>
        </w:rPr>
        <w:t>’</w:t>
      </w:r>
      <w:r w:rsidR="0096322C">
        <w:rPr>
          <w:rFonts w:ascii="Times New Roman" w:hAnsi="Times New Roman" w:cs="Times New Roman"/>
          <w:sz w:val="24"/>
          <w:szCs w:val="24"/>
        </w:rPr>
        <w:t xml:space="preserve"> composition in </w:t>
      </w:r>
      <w:r w:rsidR="00166F85">
        <w:rPr>
          <w:rFonts w:ascii="Times New Roman" w:hAnsi="Times New Roman" w:cs="Times New Roman"/>
          <w:sz w:val="24"/>
          <w:szCs w:val="24"/>
        </w:rPr>
        <w:t>the following institutional repositories</w:t>
      </w:r>
      <w:r w:rsidR="004F41EE">
        <w:rPr>
          <w:rFonts w:ascii="Times New Roman" w:hAnsi="Times New Roman" w:cs="Times New Roman"/>
          <w:sz w:val="24"/>
          <w:szCs w:val="24"/>
        </w:rPr>
        <w:t xml:space="preserve">: </w:t>
      </w:r>
      <w:r w:rsidR="004F41EE" w:rsidRPr="00094FE7">
        <w:rPr>
          <w:rFonts w:ascii="Times New Roman" w:hAnsi="Times New Roman" w:cs="Times New Roman"/>
          <w:sz w:val="24"/>
          <w:szCs w:val="24"/>
        </w:rPr>
        <w:t>Boletín Oficial de la República Argentina, Boletín Oficial de la Provincia de Santa Fe</w:t>
      </w:r>
      <w:r w:rsidR="004F41EE" w:rsidRPr="0038451A">
        <w:rPr>
          <w:rFonts w:ascii="Times New Roman" w:hAnsi="Times New Roman" w:cs="Times New Roman"/>
          <w:sz w:val="24"/>
          <w:szCs w:val="24"/>
        </w:rPr>
        <w:t>, National Exchange Commission,</w:t>
      </w:r>
      <w:r w:rsidR="00E86200">
        <w:rPr>
          <w:rFonts w:ascii="Times New Roman" w:hAnsi="Times New Roman" w:cs="Times New Roman"/>
          <w:sz w:val="24"/>
          <w:szCs w:val="24"/>
        </w:rPr>
        <w:t xml:space="preserve"> </w:t>
      </w:r>
      <w:r w:rsidR="00E86200" w:rsidRPr="0038451A">
        <w:rPr>
          <w:rFonts w:ascii="Times New Roman" w:hAnsi="Times New Roman" w:cs="Times New Roman"/>
          <w:sz w:val="24"/>
          <w:szCs w:val="24"/>
        </w:rPr>
        <w:t>Argentina’s Corporation Control Authority (Inspección General de Justicia)</w:t>
      </w:r>
      <w:r w:rsidR="00E86200">
        <w:rPr>
          <w:rFonts w:ascii="Times New Roman" w:hAnsi="Times New Roman" w:cs="Times New Roman"/>
          <w:sz w:val="24"/>
          <w:szCs w:val="24"/>
        </w:rPr>
        <w:t>,</w:t>
      </w:r>
      <w:r w:rsidR="00E86200" w:rsidRPr="0038451A">
        <w:rPr>
          <w:rFonts w:ascii="Times New Roman" w:hAnsi="Times New Roman" w:cs="Times New Roman"/>
          <w:sz w:val="24"/>
          <w:szCs w:val="24"/>
        </w:rPr>
        <w:t xml:space="preserve"> Biblioteca de la Bolsa de Comercio de Buenos Aires; Banco Central de la República Argentina; Banco de la Provincia de Buenos Aires; Biblioteca CDI-Ministerio de Economía de la República Argentina, Nuevo Banco de Santa Fe, Banco </w:t>
      </w:r>
      <w:r w:rsidR="00E86200" w:rsidRPr="0038451A">
        <w:rPr>
          <w:rFonts w:ascii="Times New Roman" w:hAnsi="Times New Roman" w:cs="Times New Roman"/>
          <w:sz w:val="24"/>
          <w:szCs w:val="24"/>
        </w:rPr>
        <w:lastRenderedPageBreak/>
        <w:t>Residual, and Fundación Banco de Santa Fe.</w:t>
      </w:r>
      <w:r w:rsidR="00E86200">
        <w:rPr>
          <w:rFonts w:ascii="Times New Roman" w:hAnsi="Times New Roman" w:cs="Times New Roman"/>
          <w:sz w:val="20"/>
          <w:szCs w:val="20"/>
        </w:rPr>
        <w:t xml:space="preserve">  </w:t>
      </w:r>
      <w:r w:rsidR="0096071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86200" w:rsidRPr="009A4933">
        <w:rPr>
          <w:rFonts w:ascii="Times New Roman" w:hAnsi="Times New Roman" w:cs="Times New Roman"/>
          <w:sz w:val="24"/>
          <w:szCs w:val="24"/>
          <w:lang w:val="en-US"/>
        </w:rPr>
        <w:t>e also gathered data from stock exchange manuals, financial yearbooks, firms’ annual reports</w:t>
      </w:r>
      <w:r w:rsidR="00EC1834">
        <w:rPr>
          <w:rFonts w:ascii="Times New Roman" w:hAnsi="Times New Roman" w:cs="Times New Roman"/>
          <w:sz w:val="24"/>
          <w:szCs w:val="24"/>
          <w:lang w:val="en-US"/>
        </w:rPr>
        <w:t xml:space="preserve"> and bibliographical dictionaries</w:t>
      </w:r>
      <w:r w:rsidR="00E86200" w:rsidRPr="009A49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200" w:rsidRPr="00384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52132B" w14:textId="1164B8E5" w:rsidR="009F4BD8" w:rsidRDefault="009F4BD8" w:rsidP="001D414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final sample included 100 non-financial firms for all benchmark years with the exceptions of 1970 and 1990. In 1970, the sample included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95 firms; we used 102 companies in 1990. 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>We also include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the 25 biggest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banks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per year,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though in 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1970 </w:t>
      </w:r>
      <w:r>
        <w:rPr>
          <w:rFonts w:ascii="Times New Roman" w:hAnsi="Times New Roman" w:cs="Times New Roman"/>
          <w:sz w:val="24"/>
          <w:szCs w:val="24"/>
          <w:lang w:val="en-US"/>
        </w:rPr>
        <w:t>we had 28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T</w:t>
      </w:r>
      <w:r w:rsidRPr="008B4895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otal deposits</w:t>
      </w:r>
      <w:r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were</w:t>
      </w:r>
      <w:r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the main criterion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for </w:t>
      </w:r>
      <w:r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select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ing</w:t>
      </w:r>
      <w:r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the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banks</w:t>
      </w:r>
      <w:r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We lack information about insurance companies, which were not among the biggest firms. We included other financial companies that were not banks in the main top-100 firm rankings</w:t>
      </w:r>
      <w:r w:rsidR="006E631C">
        <w:rPr>
          <w:rFonts w:ascii="Times New Roman" w:hAnsi="Times New Roman" w:cs="Times New Roman"/>
          <w:sz w:val="24"/>
          <w:szCs w:val="24"/>
          <w:lang w:val="en-US"/>
        </w:rPr>
        <w:t xml:space="preserve"> (six in 1923, five in 1937,</w:t>
      </w:r>
      <w:r w:rsidR="00166F85">
        <w:rPr>
          <w:rFonts w:ascii="Times New Roman" w:hAnsi="Times New Roman" w:cs="Times New Roman"/>
          <w:sz w:val="24"/>
          <w:szCs w:val="24"/>
          <w:lang w:val="en-US"/>
        </w:rPr>
        <w:t xml:space="preserve"> nine </w:t>
      </w:r>
      <w:r w:rsidR="006E631C">
        <w:rPr>
          <w:rFonts w:ascii="Times New Roman" w:hAnsi="Times New Roman" w:cs="Times New Roman"/>
          <w:sz w:val="24"/>
          <w:szCs w:val="24"/>
          <w:lang w:val="en-US"/>
        </w:rPr>
        <w:t>in 1944, eight in 1954,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31C">
        <w:rPr>
          <w:rFonts w:ascii="Times New Roman" w:hAnsi="Times New Roman" w:cs="Times New Roman"/>
          <w:sz w:val="24"/>
          <w:szCs w:val="24"/>
          <w:lang w:val="en-US"/>
        </w:rPr>
        <w:t xml:space="preserve">and four in 2000). 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The total sample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each year thus 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125 companies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1970 and 1990,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contained 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>123 and 127 companies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respectively.</w:t>
      </w:r>
    </w:p>
    <w:p w14:paraId="04B633E3" w14:textId="5CA77ACC" w:rsidR="002D6B89" w:rsidRPr="002544B9" w:rsidRDefault="009F4BD8" w:rsidP="001D41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ab/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S</w:t>
      </w:r>
      <w:r w:rsidR="002D6B89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ome </w:t>
      </w:r>
      <w:r w:rsidR="00434AD8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clarifications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are relevant</w:t>
      </w:r>
      <w:r w:rsidR="00F158D7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.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First, </w:t>
      </w:r>
      <w:r w:rsidR="00CE12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E1264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hroughout the </w:t>
      </w:r>
      <w:r w:rsidR="00CE1264">
        <w:rPr>
          <w:rFonts w:ascii="Times New Roman" w:hAnsi="Times New Roman" w:cs="Times New Roman"/>
          <w:sz w:val="24"/>
          <w:szCs w:val="24"/>
          <w:lang w:val="en-US"/>
        </w:rPr>
        <w:t>twentieth</w:t>
      </w:r>
      <w:r w:rsidR="00CE1264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 century, only a few </w:t>
      </w:r>
      <w:r w:rsidR="00CE1264">
        <w:rPr>
          <w:rFonts w:ascii="Times New Roman" w:hAnsi="Times New Roman" w:cs="Times New Roman"/>
          <w:sz w:val="24"/>
          <w:szCs w:val="24"/>
          <w:lang w:val="en-US"/>
        </w:rPr>
        <w:t xml:space="preserve">Argentinean </w:t>
      </w:r>
      <w:r w:rsidR="00CE1264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companies </w:t>
      </w:r>
      <w:r w:rsidR="00CE1264">
        <w:rPr>
          <w:rFonts w:ascii="Times New Roman" w:hAnsi="Times New Roman" w:cs="Times New Roman"/>
          <w:sz w:val="24"/>
          <w:szCs w:val="24"/>
          <w:lang w:val="en-US"/>
        </w:rPr>
        <w:t xml:space="preserve">have been </w:t>
      </w:r>
      <w:r w:rsidR="00CE1264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listed on the stock market. </w:t>
      </w:r>
      <w:r w:rsidR="00CE126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E1264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arket capitalization </w:t>
      </w:r>
      <w:r w:rsidR="00CE1264">
        <w:rPr>
          <w:rFonts w:ascii="Times New Roman" w:hAnsi="Times New Roman" w:cs="Times New Roman"/>
          <w:sz w:val="24"/>
          <w:szCs w:val="24"/>
          <w:lang w:val="en-US"/>
        </w:rPr>
        <w:t xml:space="preserve">thus is </w:t>
      </w:r>
      <w:r w:rsidR="00CE1264" w:rsidRPr="00D82F2E">
        <w:rPr>
          <w:rFonts w:ascii="Times New Roman" w:hAnsi="Times New Roman" w:cs="Times New Roman"/>
          <w:sz w:val="24"/>
          <w:szCs w:val="24"/>
          <w:lang w:val="en-US"/>
        </w:rPr>
        <w:t xml:space="preserve">not a useful criterion </w:t>
      </w:r>
      <w:r w:rsidR="00CE12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1264" w:rsidRPr="00D82F2E">
        <w:rPr>
          <w:rFonts w:ascii="Times New Roman" w:hAnsi="Times New Roman" w:cs="Times New Roman"/>
          <w:sz w:val="24"/>
          <w:szCs w:val="24"/>
          <w:lang w:val="en-US"/>
        </w:rPr>
        <w:t>our sample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. Second, because </w:t>
      </w:r>
      <w:r w:rsidR="00CE1264"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there were no rankings 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based on </w:t>
      </w:r>
      <w:r w:rsidR="00CE1264"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sales for the 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100 largest firms before 195</w:t>
      </w:r>
      <w:r w:rsidR="003106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4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(and no information on sales either), </w:t>
      </w:r>
      <w:r w:rsidR="00F158D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D0D27" w:rsidRPr="00D82F2E">
        <w:rPr>
          <w:rFonts w:ascii="Times New Roman" w:hAnsi="Times New Roman" w:cs="Times New Roman"/>
          <w:sz w:val="24"/>
          <w:szCs w:val="24"/>
          <w:lang w:val="en-US"/>
        </w:rPr>
        <w:t>e used two</w:t>
      </w:r>
      <w:r w:rsidR="00CD0D27" w:rsidRPr="00D82F2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selection criteria, </w:t>
      </w:r>
      <w:r w:rsidR="003F34F5" w:rsidRPr="006B3F42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 xml:space="preserve">share </w:t>
      </w:r>
      <w:r w:rsidR="00CD0D27" w:rsidRPr="006B3F42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c</w:t>
      </w:r>
      <w:r w:rsidR="00CD0D27" w:rsidRPr="005F08F6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 xml:space="preserve">apital </w:t>
      </w:r>
      <w:r w:rsidR="00497673" w:rsidRPr="00697D51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and</w:t>
      </w:r>
      <w:r w:rsidR="00CD0D27" w:rsidRPr="005F08F6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 xml:space="preserve"> </w:t>
      </w:r>
      <w:r w:rsidR="003F34F5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 xml:space="preserve">annual </w:t>
      </w:r>
      <w:r w:rsidR="00CD0D27" w:rsidRPr="005F08F6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sales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. Third,</w:t>
      </w:r>
      <w:r w:rsidR="006E631C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166F85" w:rsidRPr="00166F85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and a</w:t>
      </w:r>
      <w:r w:rsidR="006E631C" w:rsidRPr="00166F85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s it was said, information of board composition is not systematically available for the most recent period.</w:t>
      </w:r>
      <w:r w:rsidR="006E631C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For this reason, </w:t>
      </w:r>
      <w:r w:rsidR="00321E26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i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n</w:t>
      </w:r>
      <w:r w:rsidR="00F158D7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1990 w</w:t>
      </w:r>
      <w:r w:rsidR="00751B8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hen the information on</w:t>
      </w:r>
      <w:r w:rsidR="00A94B49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the </w:t>
      </w:r>
      <w:r w:rsidR="00A94B49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board composition </w:t>
      </w:r>
      <w:r w:rsidR="00751B8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of the 100 largest firms </w:t>
      </w:r>
      <w:r w:rsidR="005F08F6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included in </w:t>
      </w:r>
      <w:r w:rsidR="00F158D7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the </w:t>
      </w:r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Mercado</w:t>
      </w:r>
      <w:r w:rsidR="000608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ranking </w:t>
      </w:r>
      <w:r w:rsidR="00A94B49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was not </w:t>
      </w:r>
      <w:r w:rsidR="00751B8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available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,</w:t>
      </w:r>
      <w:r w:rsidR="00751B8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we </w:t>
      </w:r>
      <w:r w:rsidR="00F158D7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considered</w:t>
      </w:r>
      <w:r w:rsidR="000608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5F08F6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the </w:t>
      </w:r>
      <w:r w:rsidR="00AD1EDF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largest </w:t>
      </w:r>
      <w:r w:rsidR="005F08F6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1</w:t>
      </w:r>
      <w:r w:rsidR="00EB130C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5</w:t>
      </w:r>
      <w:r w:rsidR="005F08F6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0 </w:t>
      </w:r>
      <w:r w:rsidR="000608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firms 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according to </w:t>
      </w:r>
      <w:proofErr w:type="spellStart"/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Prensa</w:t>
      </w:r>
      <w:proofErr w:type="spellEnd"/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 xml:space="preserve"> </w:t>
      </w:r>
      <w:proofErr w:type="spellStart"/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Económica</w:t>
      </w:r>
      <w:proofErr w:type="spellEnd"/>
      <w:r w:rsidR="000608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ranking </w:t>
      </w:r>
      <w:r w:rsidR="000608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that were not </w:t>
      </w:r>
      <w:r w:rsidR="00F158D7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in </w:t>
      </w:r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Mercado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,</w:t>
      </w:r>
      <w:r w:rsidR="000608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BA49E2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until </w:t>
      </w:r>
      <w:r w:rsidR="000608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we </w:t>
      </w:r>
      <w:r w:rsidR="00B803C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reached </w:t>
      </w:r>
      <w:r w:rsidR="00751B8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100 companies. </w:t>
      </w:r>
      <w:r w:rsidR="0031067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751B8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In 1990, 9 firms</w:t>
      </w:r>
      <w:r w:rsidR="00D33482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E94643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came from the </w:t>
      </w:r>
      <w:proofErr w:type="spellStart"/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Prensa</w:t>
      </w:r>
      <w:proofErr w:type="spellEnd"/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 xml:space="preserve"> </w:t>
      </w:r>
      <w:proofErr w:type="spellStart"/>
      <w:r w:rsidR="0006087E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Económica</w:t>
      </w:r>
      <w:proofErr w:type="spellEnd"/>
      <w:r w:rsidR="00E94643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ranking</w:t>
      </w:r>
      <w:r w:rsidR="005F08F6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.</w:t>
      </w:r>
      <w:r w:rsidR="00A22CC0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In 2000</w:t>
      </w:r>
      <w:r w:rsidR="00A22CC0" w:rsidRPr="00A6289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, we </w:t>
      </w:r>
      <w:r w:rsidR="006E631C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only </w:t>
      </w:r>
      <w:r w:rsidR="00A22CC0" w:rsidRPr="00A6289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used </w:t>
      </w:r>
      <w:r w:rsidR="00A22CC0" w:rsidRPr="0009016F">
        <w:rPr>
          <w:rFonts w:ascii="Times New Roman" w:eastAsiaTheme="minorEastAsia" w:hAnsi="Times New Roman" w:cs="Times New Roman"/>
          <w:i/>
          <w:sz w:val="24"/>
          <w:szCs w:val="24"/>
          <w:lang w:val="en-US" w:eastAsia="es-ES"/>
        </w:rPr>
        <w:t>Mercado</w:t>
      </w:r>
      <w:r w:rsidR="00A22CC0" w:rsidRPr="00A6289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´s ranking but </w:t>
      </w:r>
      <w:r w:rsidR="00A22CC0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we 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have </w:t>
      </w:r>
      <w:r w:rsidR="00A22CC0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add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ed</w:t>
      </w:r>
      <w:r w:rsidR="00A22CC0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A22CC0" w:rsidRPr="00A22CC0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firms </w:t>
      </w:r>
      <w:r w:rsidR="00166F85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placed among the top-125.</w:t>
      </w:r>
      <w:r w:rsidR="00CE1264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</w:p>
    <w:p w14:paraId="0E703319" w14:textId="24176B19" w:rsidR="00267D8D" w:rsidRPr="00670F0D" w:rsidRDefault="002D6B89" w:rsidP="001D414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ab/>
      </w:r>
      <w:r w:rsidR="00CE1264" w:rsidRPr="00165F6F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F</w:t>
      </w:r>
      <w:r w:rsidR="006B3F42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ourth, </w:t>
      </w:r>
      <w:r w:rsidR="003B36EE" w:rsidRPr="003B36E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Argentina is a civil law country. </w:t>
      </w:r>
      <w:r w:rsidR="003B36EE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oard members </w:t>
      </w:r>
      <w:r w:rsidR="00E946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are </w:t>
      </w:r>
      <w:r w:rsidRPr="00165F6F">
        <w:rPr>
          <w:rFonts w:ascii="Times New Roman" w:hAnsi="Times New Roman" w:cs="Times New Roman"/>
          <w:iCs/>
          <w:sz w:val="24"/>
          <w:szCs w:val="24"/>
          <w:lang w:val="en-US"/>
        </w:rPr>
        <w:t>appointed at shareholders’ meetings and entrusted with the immediate management of corporate businesses.</w:t>
      </w:r>
      <w:r w:rsidR="00B803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Argentine laws </w:t>
      </w:r>
      <w:r w:rsidR="00E946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do not </w:t>
      </w:r>
      <w:r w:rsidR="00EB130C" w:rsidRPr="00165F6F">
        <w:rPr>
          <w:rFonts w:ascii="Times New Roman" w:hAnsi="Times New Roman" w:cs="Times New Roman"/>
          <w:iCs/>
          <w:sz w:val="24"/>
          <w:szCs w:val="24"/>
          <w:lang w:val="en-US"/>
        </w:rPr>
        <w:t>require</w:t>
      </w:r>
      <w:r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 specific number of board members. </w:t>
      </w:r>
      <w:r w:rsidR="00E1458B" w:rsidRPr="00FD1126">
        <w:rPr>
          <w:rFonts w:ascii="Times New Roman" w:hAnsi="Times New Roman" w:cs="Times New Roman"/>
          <w:iCs/>
          <w:sz w:val="24"/>
          <w:szCs w:val="24"/>
          <w:lang w:val="en-US"/>
        </w:rPr>
        <w:t>Until 1972, the only requirement to be a director was to be a shareholder of the company</w:t>
      </w:r>
      <w:r w:rsidR="003B36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but, i</w:t>
      </w:r>
      <w:r w:rsidR="00E1458B" w:rsidRPr="00FD112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 </w:t>
      </w:r>
      <w:r w:rsidR="00F43DCB" w:rsidRPr="00FD1126">
        <w:rPr>
          <w:rFonts w:ascii="Times New Roman" w:hAnsi="Times New Roman" w:cs="Times New Roman"/>
          <w:iCs/>
          <w:sz w:val="24"/>
          <w:szCs w:val="24"/>
          <w:lang w:val="en-US"/>
        </w:rPr>
        <w:t>practice</w:t>
      </w:r>
      <w:r w:rsidR="00E1458B" w:rsidRPr="00FD112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only one share was necessary. </w:t>
      </w:r>
      <w:r w:rsidR="00670F0D">
        <w:rPr>
          <w:rFonts w:ascii="Times New Roman" w:hAnsi="Times New Roman" w:cs="Times New Roman"/>
          <w:iCs/>
          <w:sz w:val="24"/>
          <w:szCs w:val="24"/>
          <w:lang w:val="en-US"/>
        </w:rPr>
        <w:t>A new</w:t>
      </w:r>
      <w:r w:rsidR="00670F0D" w:rsidRPr="00FD1126">
        <w:rPr>
          <w:rFonts w:ascii="Times New Roman" w:hAnsi="Times New Roman" w:cs="Times New Roman"/>
          <w:sz w:val="24"/>
          <w:szCs w:val="24"/>
          <w:lang w:val="en-US"/>
        </w:rPr>
        <w:t xml:space="preserve"> Company Corporation’s legal system</w:t>
      </w:r>
      <w:r w:rsidR="00670F0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70F0D" w:rsidRPr="00EE2D50">
        <w:rPr>
          <w:rFonts w:ascii="Times New Roman" w:hAnsi="Times New Roman" w:cs="Times New Roman"/>
          <w:iCs/>
          <w:sz w:val="24"/>
          <w:szCs w:val="24"/>
          <w:lang w:val="en-US"/>
        </w:rPr>
        <w:t>was passed in 1972 (</w:t>
      </w:r>
      <w:r w:rsidR="006E631C" w:rsidRPr="00EE2D50">
        <w:rPr>
          <w:rFonts w:ascii="Times New Roman" w:hAnsi="Times New Roman" w:cs="Times New Roman"/>
          <w:iCs/>
          <w:sz w:val="24"/>
          <w:szCs w:val="24"/>
          <w:lang w:val="en-US"/>
        </w:rPr>
        <w:t>Act</w:t>
      </w:r>
      <w:r w:rsidR="00670F0D" w:rsidRPr="00FB0B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19</w:t>
      </w:r>
      <w:r w:rsidR="006E631C" w:rsidRPr="00FB0B11">
        <w:rPr>
          <w:rFonts w:ascii="Times New Roman" w:hAnsi="Times New Roman" w:cs="Times New Roman"/>
          <w:iCs/>
          <w:sz w:val="24"/>
          <w:szCs w:val="24"/>
          <w:lang w:val="en-US"/>
        </w:rPr>
        <w:t>,55</w:t>
      </w:r>
      <w:r w:rsidR="00670F0D" w:rsidRPr="00FB0B11">
        <w:rPr>
          <w:rFonts w:ascii="Times New Roman" w:hAnsi="Times New Roman" w:cs="Times New Roman"/>
          <w:iCs/>
          <w:sz w:val="24"/>
          <w:szCs w:val="24"/>
          <w:lang w:val="en-US"/>
        </w:rPr>
        <w:t>0).</w:t>
      </w:r>
      <w:r w:rsidR="00670F0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E631C">
        <w:rPr>
          <w:rFonts w:ascii="Times New Roman" w:hAnsi="Times New Roman" w:cs="Times New Roman"/>
          <w:sz w:val="24"/>
          <w:szCs w:val="24"/>
          <w:lang w:val="en-US"/>
        </w:rPr>
        <w:t>Since then</w:t>
      </w:r>
      <w:r w:rsidR="00EE5A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E6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D8D" w:rsidRPr="00FD1126">
        <w:rPr>
          <w:rFonts w:ascii="Times New Roman" w:hAnsi="Times New Roman" w:cs="Times New Roman"/>
          <w:iCs/>
          <w:sz w:val="24"/>
          <w:szCs w:val="24"/>
          <w:lang w:val="en-US"/>
        </w:rPr>
        <w:t>it is not mandatory to be a shareholder of the company to be eligible as director</w:t>
      </w:r>
      <w:r w:rsidR="00FD1126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3B36EE" w:rsidRPr="003B36E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r w:rsidR="003B36EE" w:rsidRPr="003B36E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Directors </w:t>
      </w:r>
      <w:r w:rsidR="003B36EE">
        <w:rPr>
          <w:rFonts w:ascii="Times New Roman" w:hAnsi="Times New Roman" w:cs="Times New Roman"/>
          <w:iCs/>
          <w:sz w:val="24"/>
          <w:szCs w:val="24"/>
          <w:lang w:val="en-GB"/>
        </w:rPr>
        <w:t>are</w:t>
      </w:r>
      <w:r w:rsidR="003B36EE" w:rsidRPr="003B36E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not eligible for re-election, unless it </w:t>
      </w:r>
      <w:r w:rsidR="003B36EE">
        <w:rPr>
          <w:rFonts w:ascii="Times New Roman" w:hAnsi="Times New Roman" w:cs="Times New Roman"/>
          <w:iCs/>
          <w:sz w:val="24"/>
          <w:szCs w:val="24"/>
          <w:lang w:val="en-GB"/>
        </w:rPr>
        <w:t>is</w:t>
      </w:r>
      <w:r w:rsidR="003B36EE" w:rsidRPr="003B36E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expressly provided in the articles of incorporations and by-laws.</w:t>
      </w:r>
    </w:p>
    <w:p w14:paraId="5AB7C263" w14:textId="33DC8858" w:rsidR="00911F57" w:rsidRPr="00EE5A6D" w:rsidRDefault="00F43DCB" w:rsidP="001D41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2D6B89"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Board tasks include business management, property administration, and personnel governance. </w:t>
      </w:r>
      <w:r w:rsidR="00A96A07" w:rsidRPr="00FB0B1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Until 1972, the directors of corporations were not liable for the company´s obligations buy they were personally and jointly responsible to the companies and to third parties </w:t>
      </w:r>
      <w:r w:rsidR="00A96A07" w:rsidRPr="00FB0B11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 xml:space="preserve">for fraud, neglect or violations of the laws or the articles and regulations of the company. Later, </w:t>
      </w:r>
      <w:r w:rsidR="00A96A07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2D6B89" w:rsidRPr="00165F6F">
        <w:rPr>
          <w:rFonts w:ascii="Times New Roman" w:hAnsi="Times New Roman" w:cs="Times New Roman"/>
          <w:iCs/>
          <w:sz w:val="24"/>
          <w:szCs w:val="24"/>
          <w:lang w:val="en-US"/>
        </w:rPr>
        <w:t>oard members share unlimited liability for their managerial decisions and compliance with current laws, by-laws</w:t>
      </w:r>
      <w:r w:rsidR="00E94643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2D6B89"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shareholder meetings’ decisions. </w:t>
      </w:r>
      <w:r w:rsidR="001D4142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1D4142" w:rsidRPr="001D414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ourts’ decisions </w:t>
      </w:r>
      <w:r w:rsidR="00D749F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also </w:t>
      </w:r>
      <w:r w:rsidR="001D4142" w:rsidRPr="001D4142">
        <w:rPr>
          <w:rFonts w:ascii="Times New Roman" w:hAnsi="Times New Roman" w:cs="Times New Roman"/>
          <w:iCs/>
          <w:sz w:val="24"/>
          <w:szCs w:val="24"/>
          <w:lang w:val="en-US"/>
        </w:rPr>
        <w:t>have ruled that the director is liable for the sole fact of being a member of the board, insofar as it is deemed that the body was responsible for an act triggering its liability</w:t>
      </w:r>
      <w:r w:rsidR="001D414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1D4142" w:rsidRPr="001D414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E94643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165F6F"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ompanies </w:t>
      </w:r>
      <w:r w:rsidR="00E946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may </w:t>
      </w:r>
      <w:r w:rsidR="00BA74AF"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divide competencies between their board and an executive committee (consisting of some directors). </w:t>
      </w:r>
      <w:r w:rsidR="00871602"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Act 19,550 </w:t>
      </w:r>
      <w:r w:rsidR="0087160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made </w:t>
      </w:r>
      <w:r w:rsidR="00871602" w:rsidRPr="00165F6F">
        <w:rPr>
          <w:rFonts w:ascii="Times New Roman" w:hAnsi="Times New Roman" w:cs="Times New Roman"/>
          <w:iCs/>
          <w:sz w:val="24"/>
          <w:szCs w:val="24"/>
          <w:lang w:val="en-US"/>
        </w:rPr>
        <w:t>provision</w:t>
      </w:r>
      <w:r w:rsidR="0087160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 for </w:t>
      </w:r>
      <w:r w:rsidR="00652CC6">
        <w:rPr>
          <w:lang w:val="en-US"/>
        </w:rPr>
        <w:t>s</w:t>
      </w:r>
      <w:r w:rsidR="00652CC6" w:rsidRPr="00FB0B11">
        <w:rPr>
          <w:lang w:val="en-US"/>
        </w:rPr>
        <w:t>upervisory board</w:t>
      </w:r>
      <w:r w:rsidR="00652CC6">
        <w:rPr>
          <w:lang w:val="en-US"/>
        </w:rPr>
        <w:t>s</w:t>
      </w:r>
      <w:r w:rsidR="00871602" w:rsidRPr="00165F6F">
        <w:rPr>
          <w:rFonts w:ascii="Times New Roman" w:hAnsi="Times New Roman" w:cs="Times New Roman"/>
          <w:iCs/>
          <w:sz w:val="24"/>
          <w:szCs w:val="24"/>
          <w:lang w:val="en-US"/>
        </w:rPr>
        <w:t>, but it continues to be optional</w:t>
      </w:r>
      <w:r w:rsidR="003B36E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E946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so </w:t>
      </w:r>
      <w:r w:rsidR="00BA74AF" w:rsidRPr="00165F6F">
        <w:rPr>
          <w:rFonts w:ascii="Times New Roman" w:hAnsi="Times New Roman" w:cs="Times New Roman"/>
          <w:iCs/>
          <w:sz w:val="24"/>
          <w:szCs w:val="24"/>
          <w:lang w:val="en-US"/>
        </w:rPr>
        <w:t>few companies actually applied this system</w:t>
      </w:r>
      <w:r w:rsidR="006E631C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B803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EE5A6D" w:rsidRPr="00EE5A6D">
        <w:rPr>
          <w:rFonts w:ascii="Times New Roman" w:hAnsi="Times New Roman" w:cs="Times New Roman"/>
          <w:iCs/>
          <w:sz w:val="24"/>
          <w:szCs w:val="24"/>
          <w:lang w:val="en-US"/>
        </w:rPr>
        <w:t>From a legal perspective, and s</w:t>
      </w:r>
      <w:r w:rsidR="008D54BC" w:rsidRPr="00EE5A6D">
        <w:rPr>
          <w:rFonts w:ascii="Times New Roman" w:hAnsi="Times New Roman" w:cs="Times New Roman"/>
          <w:iCs/>
          <w:sz w:val="24"/>
          <w:szCs w:val="24"/>
          <w:lang w:val="en-US"/>
        </w:rPr>
        <w:t>ince the Companies Act allocates all managerial authority on the board, the Argentinean legal system falls within the “one system” category.</w:t>
      </w:r>
    </w:p>
    <w:p w14:paraId="74F2D499" w14:textId="225B5FB4" w:rsidR="000120F6" w:rsidRDefault="00911F57" w:rsidP="001D414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BB57E0">
        <w:rPr>
          <w:sz w:val="24"/>
          <w:szCs w:val="24"/>
          <w:lang w:val="en-US"/>
        </w:rPr>
        <w:t xml:space="preserve"> </w:t>
      </w:r>
      <w:r w:rsidR="006B3F42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Fifth</w:t>
      </w:r>
      <w:r w:rsidR="003B36E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, our analysis includes</w:t>
      </w:r>
      <w:r w:rsidR="003B36EE" w:rsidRPr="003B36E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the </w:t>
      </w:r>
      <w:r w:rsidR="003B36EE" w:rsidRPr="001D4142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syndics</w:t>
      </w:r>
      <w:r w:rsidR="003B36EE" w:rsidRPr="003B36EE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 xml:space="preserve"> </w:t>
      </w:r>
      <w:r w:rsidR="009E26ED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proofErr w:type="spellStart"/>
      <w:r w:rsidR="009E26ED">
        <w:rPr>
          <w:rFonts w:ascii="Times New Roman" w:hAnsi="Times New Roman" w:cs="Times New Roman"/>
          <w:iCs/>
          <w:sz w:val="24"/>
          <w:szCs w:val="24"/>
          <w:lang w:val="en-US"/>
        </w:rPr>
        <w:t>Síndicos</w:t>
      </w:r>
      <w:proofErr w:type="spellEnd"/>
      <w:r w:rsidR="009E26ED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BA74AF"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who represented shareholders </w:t>
      </w:r>
      <w:r w:rsidR="000B207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 </w:t>
      </w:r>
      <w:r w:rsidR="00E94643" w:rsidRPr="007316F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mostly </w:t>
      </w:r>
      <w:r w:rsidR="00BA74AF" w:rsidRPr="007316F6">
        <w:rPr>
          <w:rFonts w:ascii="Times New Roman" w:hAnsi="Times New Roman" w:cs="Times New Roman"/>
          <w:iCs/>
          <w:sz w:val="24"/>
          <w:szCs w:val="24"/>
          <w:lang w:val="en-US"/>
        </w:rPr>
        <w:t>audited</w:t>
      </w:r>
      <w:r w:rsidR="00BA74AF" w:rsidRPr="00165F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Argentine corporations. </w:t>
      </w:r>
      <w:r w:rsidR="00166F85" w:rsidRPr="00FB0B11">
        <w:rPr>
          <w:lang w:val="en-US"/>
        </w:rPr>
        <w:t xml:space="preserve">Their key functions are </w:t>
      </w:r>
      <w:r w:rsidR="00BA74AF" w:rsidRPr="00165F6F">
        <w:rPr>
          <w:rFonts w:ascii="Times New Roman" w:hAnsi="Times New Roman" w:cs="Times New Roman"/>
          <w:iCs/>
          <w:sz w:val="24"/>
          <w:szCs w:val="24"/>
          <w:lang w:val="en-US"/>
        </w:rPr>
        <w:t>to examine the corporation’s books and review its financial statements, annual reports, and</w:t>
      </w:r>
      <w:r w:rsidR="001D414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1D4142" w:rsidRPr="001D4142">
        <w:rPr>
          <w:rFonts w:ascii="Times New Roman" w:hAnsi="Times New Roman" w:cs="Times New Roman"/>
          <w:iCs/>
          <w:sz w:val="24"/>
          <w:szCs w:val="24"/>
          <w:lang w:val="en-US"/>
        </w:rPr>
        <w:t>to ensure that the board complies with the provisions of the Companies Act and the articles of association</w:t>
      </w:r>
      <w:r w:rsidR="001D414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8D54BC" w:rsidRPr="00EE5A6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syndic is entitled to attend board meetings. </w:t>
      </w:r>
      <w:r w:rsidR="00682202" w:rsidRPr="00EE5A6D"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  <w:t>This institution was obligatory until 1983, when a new law made it optional.</w:t>
      </w:r>
    </w:p>
    <w:p w14:paraId="668114F7" w14:textId="77777777" w:rsidR="00F445C5" w:rsidRDefault="00F445C5" w:rsidP="00E02F7A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bCs/>
          <w:i/>
          <w:lang w:val="en-US"/>
        </w:rPr>
      </w:pPr>
    </w:p>
    <w:p w14:paraId="010E33C8" w14:textId="77777777" w:rsidR="00F445C5" w:rsidRDefault="00F445C5" w:rsidP="00E02F7A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lang w:val="en-US"/>
        </w:rPr>
      </w:pPr>
    </w:p>
    <w:p w14:paraId="3E127E39" w14:textId="201EC405" w:rsidR="00F445C5" w:rsidRPr="00F445C5" w:rsidRDefault="00652CC6" w:rsidP="00E02F7A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652CC6">
        <w:rPr>
          <w:rFonts w:ascii="Times New Roman" w:hAnsi="Times New Roman" w:cs="Times New Roman"/>
          <w:bCs/>
          <w:lang w:val="en-US"/>
        </w:rPr>
        <w:t>Main sources</w:t>
      </w:r>
      <w:r w:rsidR="000120F6" w:rsidRPr="00652CC6">
        <w:rPr>
          <w:rFonts w:ascii="Times New Roman" w:hAnsi="Times New Roman" w:cs="Times New Roman"/>
          <w:bCs/>
          <w:lang w:val="en-US"/>
        </w:rPr>
        <w:t xml:space="preserve"> used to built the top 100-rankings and </w:t>
      </w:r>
      <w:r w:rsidR="0031067E">
        <w:rPr>
          <w:rFonts w:ascii="Times New Roman" w:hAnsi="Times New Roman" w:cs="Times New Roman"/>
          <w:bCs/>
          <w:lang w:val="en-US"/>
        </w:rPr>
        <w:t xml:space="preserve">to collect </w:t>
      </w:r>
      <w:r w:rsidR="000120F6" w:rsidRPr="00652CC6">
        <w:rPr>
          <w:rFonts w:ascii="Times New Roman" w:hAnsi="Times New Roman" w:cs="Times New Roman"/>
          <w:bCs/>
          <w:lang w:val="en-US"/>
        </w:rPr>
        <w:t>the information of board composition (the following list is by no means exhaustive</w:t>
      </w:r>
      <w:r w:rsidR="00F445C5" w:rsidRPr="00652CC6">
        <w:rPr>
          <w:rFonts w:ascii="Times New Roman" w:hAnsi="Times New Roman" w:cs="Times New Roman"/>
          <w:bCs/>
          <w:lang w:val="en-US"/>
        </w:rPr>
        <w:t>)</w:t>
      </w:r>
    </w:p>
    <w:p w14:paraId="2C051378" w14:textId="43AAE7FF" w:rsidR="000120F6" w:rsidRPr="00F445C5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445C5">
        <w:rPr>
          <w:rFonts w:ascii="Times New Roman" w:hAnsi="Times New Roman" w:cs="Times New Roman"/>
        </w:rPr>
        <w:t xml:space="preserve">Banco Central </w:t>
      </w:r>
      <w:r>
        <w:rPr>
          <w:rFonts w:ascii="Times New Roman" w:hAnsi="Times New Roman" w:cs="Times New Roman"/>
        </w:rPr>
        <w:t>d</w:t>
      </w:r>
      <w:r w:rsidRPr="00F445C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l</w:t>
      </w:r>
      <w:r w:rsidRPr="00F445C5">
        <w:rPr>
          <w:rFonts w:ascii="Times New Roman" w:hAnsi="Times New Roman" w:cs="Times New Roman"/>
        </w:rPr>
        <w:t>a República Argentina</w:t>
      </w:r>
      <w:r w:rsidR="000120F6" w:rsidRPr="00F445C5">
        <w:rPr>
          <w:rFonts w:ascii="Times New Roman" w:hAnsi="Times New Roman" w:cs="Times New Roman"/>
        </w:rPr>
        <w:t xml:space="preserve">, </w:t>
      </w:r>
      <w:r w:rsidR="000120F6" w:rsidRPr="00F445C5">
        <w:rPr>
          <w:rFonts w:ascii="Times New Roman" w:hAnsi="Times New Roman" w:cs="Times New Roman"/>
          <w:i/>
        </w:rPr>
        <w:t>Guía bancaria de la República Argentina: nómina de las entidades con la distribución geográfica de sus casas centrales y filiales</w:t>
      </w:r>
      <w:r w:rsidR="000120F6" w:rsidRPr="00F445C5">
        <w:rPr>
          <w:rFonts w:ascii="Times New Roman" w:hAnsi="Times New Roman" w:cs="Times New Roman"/>
        </w:rPr>
        <w:t xml:space="preserve">. </w:t>
      </w:r>
      <w:r w:rsidR="000120F6" w:rsidRPr="00F445C5">
        <w:rPr>
          <w:rFonts w:ascii="Times New Roman" w:hAnsi="Times New Roman" w:cs="Times New Roman"/>
          <w:lang w:val="en-US"/>
        </w:rPr>
        <w:t>Buenos Aires: BCRA</w:t>
      </w:r>
      <w:r>
        <w:rPr>
          <w:rFonts w:ascii="Times New Roman" w:hAnsi="Times New Roman" w:cs="Times New Roman"/>
          <w:lang w:val="en-US"/>
        </w:rPr>
        <w:t>, 1954.</w:t>
      </w:r>
    </w:p>
    <w:p w14:paraId="59C8AEA5" w14:textId="26733F9A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78F0">
        <w:rPr>
          <w:rFonts w:ascii="Times New Roman" w:hAnsi="Times New Roman" w:cs="Times New Roman"/>
          <w:lang w:val="es-ES"/>
        </w:rPr>
        <w:t xml:space="preserve">Banco Central de la República Argentina, </w:t>
      </w:r>
      <w:r w:rsidRPr="001D4142">
        <w:rPr>
          <w:rFonts w:ascii="Times New Roman" w:hAnsi="Times New Roman" w:cs="Times New Roman"/>
          <w:i/>
          <w:lang w:val="es-ES"/>
        </w:rPr>
        <w:t>Memorias Anuales y Boletines Estadísticos</w:t>
      </w:r>
      <w:r w:rsidRPr="006A78F0">
        <w:rPr>
          <w:rFonts w:ascii="Times New Roman" w:hAnsi="Times New Roman" w:cs="Times New Roman"/>
          <w:lang w:val="es-ES"/>
        </w:rPr>
        <w:t xml:space="preserve">, </w:t>
      </w:r>
      <w:r w:rsidR="00652CC6">
        <w:rPr>
          <w:rFonts w:ascii="Times New Roman" w:hAnsi="Times New Roman" w:cs="Times New Roman"/>
          <w:lang w:val="es-ES"/>
        </w:rPr>
        <w:t>Buenos Aires.</w:t>
      </w:r>
      <w:r w:rsidR="001D4142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A78F0">
        <w:rPr>
          <w:rFonts w:ascii="Times New Roman" w:hAnsi="Times New Roman" w:cs="Times New Roman"/>
          <w:lang w:val="es-ES"/>
        </w:rPr>
        <w:t>Years</w:t>
      </w:r>
      <w:proofErr w:type="spellEnd"/>
      <w:r w:rsidRPr="006A78F0">
        <w:rPr>
          <w:rFonts w:ascii="Times New Roman" w:hAnsi="Times New Roman" w:cs="Times New Roman"/>
          <w:lang w:val="es-ES"/>
        </w:rPr>
        <w:t>: 1923, 1937, 1945</w:t>
      </w:r>
      <w:r>
        <w:rPr>
          <w:rFonts w:ascii="Times New Roman" w:hAnsi="Times New Roman" w:cs="Times New Roman"/>
          <w:lang w:val="es-ES"/>
        </w:rPr>
        <w:t>, 1990 and 2000</w:t>
      </w:r>
      <w:r w:rsidRPr="006A78F0">
        <w:rPr>
          <w:rFonts w:ascii="Times New Roman" w:hAnsi="Times New Roman" w:cs="Times New Roman"/>
          <w:lang w:val="es-ES"/>
        </w:rPr>
        <w:t>.</w:t>
      </w:r>
    </w:p>
    <w:p w14:paraId="02E0D7CC" w14:textId="607AE8F0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4142">
        <w:rPr>
          <w:rFonts w:ascii="Times New Roman" w:hAnsi="Times New Roman" w:cs="Times New Roman"/>
          <w:i/>
        </w:rPr>
        <w:t>Boletín Oficial de la Provincia de Santa Fe</w:t>
      </w:r>
      <w:r w:rsidRPr="006A78F0">
        <w:rPr>
          <w:rFonts w:ascii="Times New Roman" w:hAnsi="Times New Roman" w:cs="Times New Roman"/>
        </w:rPr>
        <w:t xml:space="preserve">, Santa Fé, </w:t>
      </w:r>
      <w:r w:rsidR="00E02F7A">
        <w:rPr>
          <w:rFonts w:ascii="Times New Roman" w:hAnsi="Times New Roman" w:cs="Times New Roman"/>
        </w:rPr>
        <w:t xml:space="preserve">Years 1990 and 2000, </w:t>
      </w:r>
      <w:r w:rsidR="00E02F7A" w:rsidRPr="006A78F0">
        <w:rPr>
          <w:rFonts w:ascii="Times New Roman" w:hAnsi="Times New Roman" w:cs="Times New Roman"/>
        </w:rPr>
        <w:t xml:space="preserve">Several </w:t>
      </w:r>
      <w:r w:rsidR="00E02F7A">
        <w:rPr>
          <w:rFonts w:ascii="Times New Roman" w:hAnsi="Times New Roman" w:cs="Times New Roman"/>
        </w:rPr>
        <w:t>i</w:t>
      </w:r>
      <w:r w:rsidR="00E02F7A" w:rsidRPr="006A78F0">
        <w:rPr>
          <w:rFonts w:ascii="Times New Roman" w:hAnsi="Times New Roman" w:cs="Times New Roman"/>
        </w:rPr>
        <w:t xml:space="preserve">ssues </w:t>
      </w:r>
    </w:p>
    <w:p w14:paraId="06C35726" w14:textId="536ACA40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4142">
        <w:rPr>
          <w:rFonts w:ascii="Times New Roman" w:hAnsi="Times New Roman" w:cs="Times New Roman"/>
          <w:i/>
        </w:rPr>
        <w:t>Boletín Oficial de la República Argentina</w:t>
      </w:r>
      <w:r w:rsidRPr="006A78F0">
        <w:rPr>
          <w:rFonts w:ascii="Times New Roman" w:hAnsi="Times New Roman" w:cs="Times New Roman"/>
        </w:rPr>
        <w:t xml:space="preserve">, Buenos Aires, </w:t>
      </w:r>
      <w:r w:rsidR="00E02F7A">
        <w:rPr>
          <w:rFonts w:ascii="Times New Roman" w:hAnsi="Times New Roman" w:cs="Times New Roman"/>
        </w:rPr>
        <w:t xml:space="preserve">Years 1990 and 2000, </w:t>
      </w:r>
      <w:r w:rsidRPr="006A78F0">
        <w:rPr>
          <w:rFonts w:ascii="Times New Roman" w:hAnsi="Times New Roman" w:cs="Times New Roman"/>
        </w:rPr>
        <w:t xml:space="preserve">Several </w:t>
      </w:r>
      <w:r w:rsidR="00E02F7A">
        <w:rPr>
          <w:rFonts w:ascii="Times New Roman" w:hAnsi="Times New Roman" w:cs="Times New Roman"/>
        </w:rPr>
        <w:t>i</w:t>
      </w:r>
      <w:r w:rsidRPr="006A78F0">
        <w:rPr>
          <w:rFonts w:ascii="Times New Roman" w:hAnsi="Times New Roman" w:cs="Times New Roman"/>
        </w:rPr>
        <w:t>ssues.</w:t>
      </w:r>
    </w:p>
    <w:p w14:paraId="0EF2FC77" w14:textId="77777777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78F0">
        <w:rPr>
          <w:rFonts w:ascii="Times New Roman" w:hAnsi="Times New Roman" w:cs="Times New Roman"/>
          <w:lang w:val="es-ES"/>
        </w:rPr>
        <w:t xml:space="preserve">Bolsa de Comercio de Buenos Aires, </w:t>
      </w:r>
      <w:r w:rsidRPr="001D4142">
        <w:rPr>
          <w:rFonts w:ascii="Times New Roman" w:hAnsi="Times New Roman" w:cs="Times New Roman"/>
          <w:i/>
          <w:lang w:val="es-ES"/>
        </w:rPr>
        <w:t>Boletín La Bolsa</w:t>
      </w:r>
      <w:r w:rsidRPr="006A78F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A78F0">
        <w:rPr>
          <w:rFonts w:ascii="Times New Roman" w:hAnsi="Times New Roman" w:cs="Times New Roman"/>
          <w:lang w:val="es-ES"/>
        </w:rPr>
        <w:t>Years</w:t>
      </w:r>
      <w:proofErr w:type="spellEnd"/>
      <w:r w:rsidRPr="006A78F0">
        <w:rPr>
          <w:rFonts w:ascii="Times New Roman" w:hAnsi="Times New Roman" w:cs="Times New Roman"/>
          <w:lang w:val="es-ES"/>
        </w:rPr>
        <w:t xml:space="preserve">: 1990 and 1991, </w:t>
      </w:r>
      <w:proofErr w:type="spellStart"/>
      <w:r w:rsidRPr="006A78F0">
        <w:rPr>
          <w:rFonts w:ascii="Times New Roman" w:hAnsi="Times New Roman" w:cs="Times New Roman"/>
          <w:lang w:val="es-ES"/>
        </w:rPr>
        <w:t>Several</w:t>
      </w:r>
      <w:proofErr w:type="spellEnd"/>
      <w:r w:rsidRPr="006A78F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A78F0">
        <w:rPr>
          <w:rFonts w:ascii="Times New Roman" w:hAnsi="Times New Roman" w:cs="Times New Roman"/>
          <w:lang w:val="es-ES"/>
        </w:rPr>
        <w:t>Issues</w:t>
      </w:r>
      <w:proofErr w:type="spellEnd"/>
      <w:r w:rsidRPr="006A78F0">
        <w:rPr>
          <w:rFonts w:ascii="Times New Roman" w:hAnsi="Times New Roman" w:cs="Times New Roman"/>
          <w:lang w:val="es-ES"/>
        </w:rPr>
        <w:t>. Buenos Aires.</w:t>
      </w:r>
    </w:p>
    <w:p w14:paraId="1ACC196C" w14:textId="2E5BCE2A" w:rsidR="000120F6" w:rsidRPr="006A78F0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6A78F0">
        <w:rPr>
          <w:rFonts w:ascii="Times New Roman" w:hAnsi="Times New Roman" w:cs="Times New Roman"/>
          <w:lang w:val="es-PE"/>
        </w:rPr>
        <w:t xml:space="preserve">Cámara </w:t>
      </w:r>
      <w:r>
        <w:rPr>
          <w:rFonts w:ascii="Times New Roman" w:hAnsi="Times New Roman" w:cs="Times New Roman"/>
          <w:lang w:val="es-PE"/>
        </w:rPr>
        <w:t>d</w:t>
      </w:r>
      <w:r w:rsidRPr="006A78F0">
        <w:rPr>
          <w:rFonts w:ascii="Times New Roman" w:hAnsi="Times New Roman" w:cs="Times New Roman"/>
          <w:lang w:val="es-PE"/>
        </w:rPr>
        <w:t xml:space="preserve">e </w:t>
      </w:r>
      <w:r w:rsidRPr="006A78F0">
        <w:rPr>
          <w:rFonts w:ascii="Times New Roman" w:hAnsi="Times New Roman" w:cs="Times New Roman"/>
          <w:lang w:val="es-ES_tradnl"/>
        </w:rPr>
        <w:t>Sociedades Anónimas</w:t>
      </w:r>
      <w:r w:rsidR="000120F6" w:rsidRPr="006A78F0">
        <w:rPr>
          <w:rFonts w:ascii="Times New Roman" w:hAnsi="Times New Roman" w:cs="Times New Roman"/>
          <w:lang w:val="es-ES_tradnl"/>
        </w:rPr>
        <w:t>,</w:t>
      </w:r>
      <w:r w:rsidR="001D4142">
        <w:rPr>
          <w:rFonts w:ascii="Times New Roman" w:hAnsi="Times New Roman" w:cs="Times New Roman"/>
          <w:lang w:val="es-ES_tradnl"/>
        </w:rPr>
        <w:t xml:space="preserve"> </w:t>
      </w:r>
      <w:r w:rsidR="000120F6" w:rsidRPr="006A78F0">
        <w:rPr>
          <w:rFonts w:ascii="Times New Roman" w:hAnsi="Times New Roman" w:cs="Times New Roman"/>
          <w:i/>
          <w:lang w:val="es-ES_tradnl"/>
        </w:rPr>
        <w:t>Guía de sociedades anónimas</w:t>
      </w:r>
      <w:r w:rsidR="000120F6" w:rsidRPr="006A78F0">
        <w:rPr>
          <w:rFonts w:ascii="Times New Roman" w:hAnsi="Times New Roman" w:cs="Times New Roman"/>
          <w:lang w:val="es-ES_tradnl"/>
        </w:rPr>
        <w:t>. Buenos Aires: Cámara de Sociedades Anónimas</w:t>
      </w:r>
      <w:r>
        <w:rPr>
          <w:rFonts w:ascii="Times New Roman" w:hAnsi="Times New Roman" w:cs="Times New Roman"/>
          <w:lang w:val="es-ES_tradnl"/>
        </w:rPr>
        <w:t>, 1972,</w:t>
      </w:r>
    </w:p>
    <w:p w14:paraId="22F7F14E" w14:textId="23429E0C" w:rsidR="000120F6" w:rsidRPr="00F445C5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1D4142">
        <w:rPr>
          <w:rFonts w:ascii="Times New Roman" w:hAnsi="Times New Roman" w:cs="Times New Roman"/>
          <w:bCs/>
          <w:i/>
          <w:lang w:val="en-US"/>
        </w:rPr>
        <w:t>Dun's Latin America's top 25,000</w:t>
      </w:r>
      <w:r w:rsidRPr="00F445C5">
        <w:rPr>
          <w:rFonts w:ascii="Times New Roman" w:hAnsi="Times New Roman" w:cs="Times New Roman"/>
          <w:lang w:val="en-US"/>
        </w:rPr>
        <w:t>. Parsippany, N.J</w:t>
      </w:r>
      <w:r w:rsidR="00D749F2" w:rsidRPr="00F445C5">
        <w:rPr>
          <w:rFonts w:ascii="Times New Roman" w:hAnsi="Times New Roman" w:cs="Times New Roman"/>
          <w:lang w:val="en-US"/>
        </w:rPr>
        <w:t>.:</w:t>
      </w:r>
      <w:r w:rsidRPr="00F445C5">
        <w:rPr>
          <w:rFonts w:ascii="Times New Roman" w:hAnsi="Times New Roman" w:cs="Times New Roman"/>
          <w:lang w:val="en-US"/>
        </w:rPr>
        <w:t xml:space="preserve"> Dun's Marketing Services, 1990.</w:t>
      </w:r>
    </w:p>
    <w:p w14:paraId="1CF10DD9" w14:textId="2178949B" w:rsidR="000120F6" w:rsidRPr="006A78F0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6A78F0">
        <w:rPr>
          <w:rFonts w:ascii="Times New Roman" w:hAnsi="Times New Roman" w:cs="Times New Roman"/>
          <w:lang w:val="es-ES_tradnl"/>
        </w:rPr>
        <w:lastRenderedPageBreak/>
        <w:t>El Accionista</w:t>
      </w:r>
      <w:r w:rsidR="000120F6" w:rsidRPr="006A78F0">
        <w:rPr>
          <w:rFonts w:ascii="Times New Roman" w:hAnsi="Times New Roman" w:cs="Times New Roman"/>
          <w:lang w:val="es-ES_tradnl"/>
        </w:rPr>
        <w:t xml:space="preserve">, </w:t>
      </w:r>
      <w:r w:rsidR="000120F6" w:rsidRPr="006A78F0">
        <w:rPr>
          <w:rFonts w:ascii="Times New Roman" w:hAnsi="Times New Roman" w:cs="Times New Roman"/>
          <w:i/>
          <w:lang w:val="es-ES_tradnl"/>
        </w:rPr>
        <w:t>Guía de sociedades anónimas</w:t>
      </w:r>
      <w:r w:rsidR="000120F6" w:rsidRPr="006A78F0">
        <w:rPr>
          <w:rFonts w:ascii="Times New Roman" w:hAnsi="Times New Roman" w:cs="Times New Roman"/>
          <w:lang w:val="es-ES_tradnl"/>
        </w:rPr>
        <w:t>. Buenos Aires: El Accionista, 1954.</w:t>
      </w:r>
    </w:p>
    <w:p w14:paraId="66AD0B1E" w14:textId="77777777" w:rsidR="000120F6" w:rsidRPr="0095449B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4142">
        <w:rPr>
          <w:rFonts w:ascii="Times New Roman" w:hAnsi="Times New Roman" w:cs="Times New Roman"/>
          <w:i/>
        </w:rPr>
        <w:t>El Avisador Mercantil</w:t>
      </w:r>
      <w:r w:rsidRPr="0095449B">
        <w:rPr>
          <w:rFonts w:ascii="Times New Roman" w:hAnsi="Times New Roman" w:cs="Times New Roman"/>
        </w:rPr>
        <w:t xml:space="preserve"> , Número Extraordinario, 1923, Buenos Aires.</w:t>
      </w:r>
    </w:p>
    <w:p w14:paraId="1C77D646" w14:textId="1FED5AEE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val="es-ES_tradnl"/>
        </w:rPr>
      </w:pPr>
      <w:r w:rsidRPr="006A78F0">
        <w:rPr>
          <w:rFonts w:ascii="Times New Roman" w:hAnsi="Times New Roman" w:cs="Times New Roman"/>
          <w:i/>
          <w:lang w:val="es-ES_tradnl"/>
        </w:rPr>
        <w:t xml:space="preserve">Guía de Sociedades Anónimas 1944/45, responsabilidad limitada y cooperativas. (Buenos Aires, A. </w:t>
      </w:r>
      <w:proofErr w:type="spellStart"/>
      <w:r w:rsidRPr="006A78F0">
        <w:rPr>
          <w:rFonts w:ascii="Times New Roman" w:hAnsi="Times New Roman" w:cs="Times New Roman"/>
          <w:i/>
          <w:lang w:val="es-ES_tradnl"/>
        </w:rPr>
        <w:t>Dorr</w:t>
      </w:r>
      <w:proofErr w:type="spellEnd"/>
      <w:r w:rsidRPr="006A78F0">
        <w:rPr>
          <w:rFonts w:ascii="Times New Roman" w:hAnsi="Times New Roman" w:cs="Times New Roman"/>
          <w:i/>
          <w:lang w:val="es-ES_tradnl"/>
        </w:rPr>
        <w:t xml:space="preserve"> Mansilla, 1946).</w:t>
      </w:r>
    </w:p>
    <w:p w14:paraId="3C6407EF" w14:textId="77777777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/>
          <w:lang w:val="es-ES"/>
        </w:rPr>
      </w:pPr>
      <w:r w:rsidRPr="006A78F0">
        <w:rPr>
          <w:rFonts w:ascii="Times New Roman" w:hAnsi="Times New Roman" w:cs="Times New Roman"/>
          <w:bCs/>
          <w:i/>
          <w:lang w:val="es-ES"/>
        </w:rPr>
        <w:t xml:space="preserve">Guía de Sociedades Anónimas, responsabilidad limitada y cooperativas, 1937-1938, (Buenos Aires, </w:t>
      </w:r>
      <w:r w:rsidRPr="006A78F0">
        <w:rPr>
          <w:rFonts w:ascii="Times New Roman" w:hAnsi="Times New Roman" w:cs="Times New Roman"/>
          <w:i/>
          <w:lang w:val="es-ES_tradnl"/>
        </w:rPr>
        <w:t xml:space="preserve">A. </w:t>
      </w:r>
      <w:proofErr w:type="spellStart"/>
      <w:r w:rsidRPr="006A78F0">
        <w:rPr>
          <w:rFonts w:ascii="Times New Roman" w:hAnsi="Times New Roman" w:cs="Times New Roman"/>
          <w:i/>
          <w:lang w:val="es-ES_tradnl"/>
        </w:rPr>
        <w:t>Dorr</w:t>
      </w:r>
      <w:proofErr w:type="spellEnd"/>
      <w:r w:rsidRPr="006A78F0">
        <w:rPr>
          <w:rFonts w:ascii="Times New Roman" w:hAnsi="Times New Roman" w:cs="Times New Roman"/>
          <w:i/>
          <w:lang w:val="es-ES_tradnl"/>
        </w:rPr>
        <w:t xml:space="preserve"> Mansilla</w:t>
      </w:r>
      <w:r w:rsidRPr="006A78F0">
        <w:rPr>
          <w:rFonts w:ascii="Times New Roman" w:hAnsi="Times New Roman" w:cs="Times New Roman"/>
          <w:bCs/>
          <w:i/>
          <w:lang w:val="es-ES"/>
        </w:rPr>
        <w:t>, 1938).</w:t>
      </w:r>
    </w:p>
    <w:p w14:paraId="649120C2" w14:textId="77777777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/>
          <w:lang w:val="es-ES"/>
        </w:rPr>
      </w:pPr>
      <w:r w:rsidRPr="006A78F0">
        <w:rPr>
          <w:rFonts w:ascii="Times New Roman" w:hAnsi="Times New Roman" w:cs="Times New Roman"/>
          <w:bCs/>
          <w:i/>
          <w:lang w:val="es-ES"/>
        </w:rPr>
        <w:t xml:space="preserve">Guía de Sociedades Anónimas. Anuario 1923-24 (Buenos Aires, </w:t>
      </w:r>
      <w:r w:rsidRPr="006A78F0">
        <w:rPr>
          <w:rFonts w:ascii="Times New Roman" w:hAnsi="Times New Roman" w:cs="Times New Roman"/>
          <w:i/>
          <w:lang w:val="es-ES_tradnl"/>
        </w:rPr>
        <w:t xml:space="preserve">A. </w:t>
      </w:r>
      <w:proofErr w:type="spellStart"/>
      <w:r w:rsidRPr="006A78F0">
        <w:rPr>
          <w:rFonts w:ascii="Times New Roman" w:hAnsi="Times New Roman" w:cs="Times New Roman"/>
          <w:i/>
          <w:lang w:val="es-ES_tradnl"/>
        </w:rPr>
        <w:t>Dorr</w:t>
      </w:r>
      <w:proofErr w:type="spellEnd"/>
      <w:r w:rsidRPr="006A78F0">
        <w:rPr>
          <w:rFonts w:ascii="Times New Roman" w:hAnsi="Times New Roman" w:cs="Times New Roman"/>
          <w:i/>
          <w:lang w:val="es-ES_tradnl"/>
        </w:rPr>
        <w:t xml:space="preserve"> Mansilla</w:t>
      </w:r>
      <w:r w:rsidRPr="006A78F0">
        <w:rPr>
          <w:rFonts w:ascii="Times New Roman" w:hAnsi="Times New Roman" w:cs="Times New Roman"/>
          <w:bCs/>
          <w:i/>
          <w:lang w:val="es-ES"/>
        </w:rPr>
        <w:t>, 1924).</w:t>
      </w:r>
    </w:p>
    <w:p w14:paraId="2EA29083" w14:textId="77777777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78F0">
        <w:rPr>
          <w:rFonts w:ascii="Times New Roman" w:hAnsi="Times New Roman" w:cs="Times New Roman"/>
          <w:i/>
        </w:rPr>
        <w:t>Guía General del Sistema Bancario Argentino</w:t>
      </w:r>
      <w:r w:rsidRPr="006A78F0">
        <w:rPr>
          <w:rFonts w:ascii="Times New Roman" w:hAnsi="Times New Roman" w:cs="Times New Roman"/>
        </w:rPr>
        <w:t xml:space="preserve"> </w:t>
      </w:r>
      <w:r w:rsidRPr="006A78F0">
        <w:rPr>
          <w:rFonts w:ascii="Times New Roman" w:hAnsi="Times New Roman" w:cs="Times New Roman"/>
          <w:lang w:val="es-ES"/>
        </w:rPr>
        <w:t xml:space="preserve">Buenos Aires: </w:t>
      </w:r>
      <w:proofErr w:type="spellStart"/>
      <w:r w:rsidRPr="006A78F0">
        <w:rPr>
          <w:rFonts w:ascii="Times New Roman" w:hAnsi="Times New Roman" w:cs="Times New Roman"/>
          <w:lang w:val="es-ES"/>
        </w:rPr>
        <w:t>Kopimab</w:t>
      </w:r>
      <w:proofErr w:type="spellEnd"/>
      <w:r w:rsidRPr="006A78F0">
        <w:rPr>
          <w:rFonts w:ascii="Times New Roman" w:hAnsi="Times New Roman" w:cs="Times New Roman"/>
          <w:lang w:val="es-ES"/>
        </w:rPr>
        <w:t>, 1991.</w:t>
      </w:r>
    </w:p>
    <w:p w14:paraId="59E2AF59" w14:textId="3CA2B05D" w:rsidR="000120F6" w:rsidRPr="00F445C5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1D4142">
        <w:rPr>
          <w:rFonts w:ascii="Times New Roman" w:hAnsi="Times New Roman" w:cs="Times New Roman"/>
          <w:i/>
          <w:lang w:val="en-US"/>
        </w:rPr>
        <w:t>Latin Banking Guide Directory 2000-2001</w:t>
      </w:r>
      <w:r w:rsidRPr="00F445C5">
        <w:rPr>
          <w:rFonts w:ascii="Times New Roman" w:hAnsi="Times New Roman" w:cs="Times New Roman"/>
          <w:lang w:val="en-US"/>
        </w:rPr>
        <w:t xml:space="preserve">, Price </w:t>
      </w:r>
      <w:proofErr w:type="spellStart"/>
      <w:r w:rsidRPr="00F445C5">
        <w:rPr>
          <w:rFonts w:ascii="Times New Roman" w:hAnsi="Times New Roman" w:cs="Times New Roman"/>
          <w:lang w:val="en-US"/>
        </w:rPr>
        <w:t>WaterHouse</w:t>
      </w:r>
      <w:proofErr w:type="spellEnd"/>
      <w:r w:rsidRPr="00F445C5">
        <w:rPr>
          <w:rFonts w:ascii="Times New Roman" w:hAnsi="Times New Roman" w:cs="Times New Roman"/>
          <w:lang w:val="en-US"/>
        </w:rPr>
        <w:t xml:space="preserve"> Coopers-Latin Finance, August 200</w:t>
      </w:r>
      <w:r w:rsidR="00652CC6">
        <w:rPr>
          <w:rFonts w:ascii="Times New Roman" w:hAnsi="Times New Roman" w:cs="Times New Roman"/>
          <w:lang w:val="en-US"/>
        </w:rPr>
        <w:t>1</w:t>
      </w:r>
      <w:r w:rsidRPr="00F445C5">
        <w:rPr>
          <w:rFonts w:ascii="Times New Roman" w:hAnsi="Times New Roman" w:cs="Times New Roman"/>
          <w:lang w:val="en-US"/>
        </w:rPr>
        <w:t>.</w:t>
      </w:r>
    </w:p>
    <w:p w14:paraId="686DCC89" w14:textId="6963FF6A" w:rsidR="000120F6" w:rsidRPr="006A78F0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6A78F0">
        <w:rPr>
          <w:rFonts w:ascii="Times New Roman" w:hAnsi="Times New Roman" w:cs="Times New Roman"/>
          <w:lang w:val="es-ES_tradnl"/>
        </w:rPr>
        <w:t>Mercado</w:t>
      </w:r>
      <w:r w:rsidR="000120F6" w:rsidRPr="006A78F0">
        <w:rPr>
          <w:rFonts w:ascii="Times New Roman" w:hAnsi="Times New Roman" w:cs="Times New Roman"/>
          <w:lang w:val="es-ES_tradnl"/>
        </w:rPr>
        <w:t xml:space="preserve">, </w:t>
      </w:r>
      <w:r w:rsidR="000120F6" w:rsidRPr="001D4142">
        <w:rPr>
          <w:rFonts w:ascii="Times New Roman" w:hAnsi="Times New Roman" w:cs="Times New Roman"/>
          <w:i/>
          <w:lang w:val="es-ES_tradnl"/>
        </w:rPr>
        <w:t>Las empresas que más venden en la Argentina</w:t>
      </w:r>
      <w:r w:rsidR="000120F6" w:rsidRPr="006A78F0">
        <w:rPr>
          <w:rFonts w:ascii="Times New Roman" w:hAnsi="Times New Roman" w:cs="Times New Roman"/>
          <w:lang w:val="es-ES_tradnl"/>
        </w:rPr>
        <w:t>, Agosto, Buenos Aires, 1990.</w:t>
      </w:r>
    </w:p>
    <w:p w14:paraId="574C907D" w14:textId="0DF07738" w:rsidR="000120F6" w:rsidRPr="006A78F0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6A78F0">
        <w:rPr>
          <w:rFonts w:ascii="Times New Roman" w:hAnsi="Times New Roman" w:cs="Times New Roman"/>
          <w:lang w:val="es-ES_tradnl"/>
        </w:rPr>
        <w:t>Mercado</w:t>
      </w:r>
      <w:r w:rsidR="000120F6" w:rsidRPr="006A78F0">
        <w:rPr>
          <w:rFonts w:ascii="Times New Roman" w:hAnsi="Times New Roman" w:cs="Times New Roman"/>
          <w:lang w:val="es-ES_tradnl"/>
        </w:rPr>
        <w:t>, Las empresas que más venden</w:t>
      </w:r>
      <w:r w:rsidR="000120F6" w:rsidRPr="006A78F0">
        <w:rPr>
          <w:rFonts w:ascii="Times New Roman" w:hAnsi="Times New Roman" w:cs="Times New Roman"/>
          <w:i/>
          <w:lang w:val="es-ES_tradnl"/>
        </w:rPr>
        <w:t>,</w:t>
      </w:r>
      <w:r w:rsidR="000120F6" w:rsidRPr="006A78F0">
        <w:rPr>
          <w:rFonts w:ascii="Times New Roman" w:hAnsi="Times New Roman" w:cs="Times New Roman"/>
          <w:lang w:val="es-ES_tradnl"/>
        </w:rPr>
        <w:t xml:space="preserve"> Nº 106, Buenos Aires, 1971.</w:t>
      </w:r>
    </w:p>
    <w:p w14:paraId="2F4FFAC1" w14:textId="59158F5C" w:rsidR="000120F6" w:rsidRPr="006A78F0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6A78F0">
        <w:rPr>
          <w:rFonts w:ascii="Times New Roman" w:hAnsi="Times New Roman" w:cs="Times New Roman"/>
          <w:lang w:val="es-ES_tradnl"/>
        </w:rPr>
        <w:t>Mercado</w:t>
      </w:r>
      <w:r w:rsidR="000120F6" w:rsidRPr="006A78F0">
        <w:rPr>
          <w:rFonts w:ascii="Times New Roman" w:hAnsi="Times New Roman" w:cs="Times New Roman"/>
          <w:lang w:val="es-ES_tradnl"/>
        </w:rPr>
        <w:t>, Rankings. Las 1.000 que más venden. Julio, Buenos Aires, 2001.</w:t>
      </w:r>
    </w:p>
    <w:p w14:paraId="2A5394CF" w14:textId="116831A3" w:rsidR="000120F6" w:rsidRPr="006A78F0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6A78F0">
        <w:rPr>
          <w:rFonts w:ascii="Times New Roman" w:hAnsi="Times New Roman" w:cs="Times New Roman"/>
          <w:lang w:val="es-ES_tradnl"/>
        </w:rPr>
        <w:t xml:space="preserve">Panorama </w:t>
      </w:r>
      <w:r>
        <w:rPr>
          <w:rFonts w:ascii="Times New Roman" w:hAnsi="Times New Roman" w:cs="Times New Roman"/>
          <w:lang w:val="es-ES_tradnl"/>
        </w:rPr>
        <w:t>d</w:t>
      </w:r>
      <w:r w:rsidRPr="006A78F0">
        <w:rPr>
          <w:rFonts w:ascii="Times New Roman" w:hAnsi="Times New Roman" w:cs="Times New Roman"/>
          <w:lang w:val="es-ES_tradnl"/>
        </w:rPr>
        <w:t xml:space="preserve">e </w:t>
      </w:r>
      <w:r>
        <w:rPr>
          <w:rFonts w:ascii="Times New Roman" w:hAnsi="Times New Roman" w:cs="Times New Roman"/>
          <w:lang w:val="es-ES_tradnl"/>
        </w:rPr>
        <w:t>l</w:t>
      </w:r>
      <w:r w:rsidRPr="006A78F0">
        <w:rPr>
          <w:rFonts w:ascii="Times New Roman" w:hAnsi="Times New Roman" w:cs="Times New Roman"/>
          <w:lang w:val="es-ES_tradnl"/>
        </w:rPr>
        <w:t>a Economía Argentina</w:t>
      </w:r>
      <w:r w:rsidR="000120F6" w:rsidRPr="006A78F0">
        <w:rPr>
          <w:rFonts w:ascii="Times New Roman" w:hAnsi="Times New Roman" w:cs="Times New Roman"/>
          <w:lang w:val="es-ES_tradnl"/>
        </w:rPr>
        <w:t xml:space="preserve">, </w:t>
      </w:r>
      <w:r w:rsidR="000120F6" w:rsidRPr="001D4142">
        <w:rPr>
          <w:rFonts w:ascii="Times New Roman" w:hAnsi="Times New Roman" w:cs="Times New Roman"/>
          <w:i/>
          <w:lang w:val="es-ES_tradnl"/>
        </w:rPr>
        <w:t>Los ingresos de las grandes empresas</w:t>
      </w:r>
      <w:r w:rsidR="000120F6" w:rsidRPr="006A78F0">
        <w:rPr>
          <w:rFonts w:ascii="Times New Roman" w:hAnsi="Times New Roman" w:cs="Times New Roman"/>
          <w:lang w:val="es-ES_tradnl"/>
        </w:rPr>
        <w:t>, Nº 4, 1958.</w:t>
      </w:r>
    </w:p>
    <w:p w14:paraId="638082BE" w14:textId="061A815C" w:rsidR="000120F6" w:rsidRPr="006A78F0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  <w:r w:rsidRPr="006A78F0">
        <w:rPr>
          <w:rFonts w:ascii="Times New Roman" w:hAnsi="Times New Roman" w:cs="Times New Roman"/>
          <w:lang w:val="es-ES_tradnl"/>
        </w:rPr>
        <w:t>Prensa Económica</w:t>
      </w:r>
      <w:r w:rsidR="000120F6" w:rsidRPr="006A78F0">
        <w:rPr>
          <w:rFonts w:ascii="Times New Roman" w:hAnsi="Times New Roman" w:cs="Times New Roman"/>
          <w:lang w:val="es-ES_tradnl"/>
        </w:rPr>
        <w:t xml:space="preserve">, </w:t>
      </w:r>
      <w:r w:rsidR="000120F6" w:rsidRPr="001D4142">
        <w:rPr>
          <w:rFonts w:ascii="Times New Roman" w:hAnsi="Times New Roman" w:cs="Times New Roman"/>
          <w:i/>
          <w:lang w:val="es-ES_tradnl"/>
        </w:rPr>
        <w:t>Ranking 1.000 empresas líderes</w:t>
      </w:r>
      <w:r w:rsidR="000120F6" w:rsidRPr="006A78F0">
        <w:rPr>
          <w:rFonts w:ascii="Times New Roman" w:hAnsi="Times New Roman" w:cs="Times New Roman"/>
          <w:lang w:val="es-ES_tradnl"/>
        </w:rPr>
        <w:t xml:space="preserve">, N.188, </w:t>
      </w:r>
      <w:proofErr w:type="spellStart"/>
      <w:r w:rsidR="000120F6" w:rsidRPr="006A78F0">
        <w:rPr>
          <w:rFonts w:ascii="Times New Roman" w:hAnsi="Times New Roman" w:cs="Times New Roman"/>
          <w:lang w:val="es-ES_tradnl"/>
        </w:rPr>
        <w:t>October</w:t>
      </w:r>
      <w:proofErr w:type="spellEnd"/>
      <w:r w:rsidR="000120F6" w:rsidRPr="006A78F0">
        <w:rPr>
          <w:rFonts w:ascii="Times New Roman" w:hAnsi="Times New Roman" w:cs="Times New Roman"/>
          <w:lang w:val="es-ES_tradnl"/>
        </w:rPr>
        <w:t>. Buenos Aires, 1991.</w:t>
      </w:r>
    </w:p>
    <w:p w14:paraId="5424A00B" w14:textId="77777777" w:rsidR="000120F6" w:rsidRPr="006A78F0" w:rsidRDefault="000120F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4142">
        <w:rPr>
          <w:rFonts w:ascii="Times New Roman" w:hAnsi="Times New Roman" w:cs="Times New Roman"/>
          <w:i/>
        </w:rPr>
        <w:t>Revista Veritas</w:t>
      </w:r>
      <w:r>
        <w:rPr>
          <w:rFonts w:ascii="Times New Roman" w:hAnsi="Times New Roman" w:cs="Times New Roman"/>
        </w:rPr>
        <w:t>, Nú</w:t>
      </w:r>
      <w:r w:rsidRPr="006A78F0">
        <w:rPr>
          <w:rFonts w:ascii="Times New Roman" w:hAnsi="Times New Roman" w:cs="Times New Roman"/>
        </w:rPr>
        <w:t>meros Extraordinarios, Years: 1938 and 1945. Buenos Aires.</w:t>
      </w:r>
    </w:p>
    <w:p w14:paraId="1C1CAADA" w14:textId="4D2E5A71" w:rsidR="000120F6" w:rsidRPr="005430F6" w:rsidRDefault="00652CC6" w:rsidP="00E02F7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lang w:val="es-ES_tradnl"/>
        </w:rPr>
      </w:pPr>
      <w:r w:rsidRPr="006A78F0">
        <w:rPr>
          <w:rFonts w:ascii="Times New Roman" w:hAnsi="Times New Roman" w:cs="Times New Roman"/>
          <w:lang w:val="es-ES_tradnl"/>
        </w:rPr>
        <w:t xml:space="preserve">Universidad Argentina </w:t>
      </w:r>
      <w:r>
        <w:rPr>
          <w:rFonts w:ascii="Times New Roman" w:hAnsi="Times New Roman" w:cs="Times New Roman"/>
          <w:lang w:val="es-ES_tradnl"/>
        </w:rPr>
        <w:t>d</w:t>
      </w:r>
      <w:r w:rsidRPr="006A78F0">
        <w:rPr>
          <w:rFonts w:ascii="Times New Roman" w:hAnsi="Times New Roman" w:cs="Times New Roman"/>
          <w:lang w:val="es-ES_tradnl"/>
        </w:rPr>
        <w:t xml:space="preserve">e </w:t>
      </w:r>
      <w:r>
        <w:rPr>
          <w:rFonts w:ascii="Times New Roman" w:hAnsi="Times New Roman" w:cs="Times New Roman"/>
          <w:lang w:val="es-ES_tradnl"/>
        </w:rPr>
        <w:t>l</w:t>
      </w:r>
      <w:r w:rsidRPr="006A78F0">
        <w:rPr>
          <w:rFonts w:ascii="Times New Roman" w:hAnsi="Times New Roman" w:cs="Times New Roman"/>
          <w:lang w:val="es-ES_tradnl"/>
        </w:rPr>
        <w:t xml:space="preserve">a Empresa &amp; Instituto </w:t>
      </w:r>
      <w:r>
        <w:rPr>
          <w:rFonts w:ascii="Times New Roman" w:hAnsi="Times New Roman" w:cs="Times New Roman"/>
          <w:lang w:val="es-ES_tradnl"/>
        </w:rPr>
        <w:t>d</w:t>
      </w:r>
      <w:r w:rsidRPr="006A78F0">
        <w:rPr>
          <w:rFonts w:ascii="Times New Roman" w:hAnsi="Times New Roman" w:cs="Times New Roman"/>
          <w:lang w:val="es-ES_tradnl"/>
        </w:rPr>
        <w:t>e Investigaciones Bancarias Y Monetarias</w:t>
      </w:r>
      <w:r w:rsidR="000120F6" w:rsidRPr="006A78F0">
        <w:rPr>
          <w:rFonts w:ascii="Times New Roman" w:hAnsi="Times New Roman" w:cs="Times New Roman"/>
          <w:lang w:val="es-ES_tradnl"/>
        </w:rPr>
        <w:t>,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6A78F0" w:rsidDel="00652CC6">
        <w:rPr>
          <w:rFonts w:ascii="Times New Roman" w:hAnsi="Times New Roman" w:cs="Times New Roman"/>
          <w:lang w:val="es-ES_tradnl"/>
        </w:rPr>
        <w:t xml:space="preserve"> </w:t>
      </w:r>
      <w:r w:rsidR="000120F6" w:rsidRPr="006A78F0">
        <w:rPr>
          <w:rFonts w:ascii="Times New Roman" w:hAnsi="Times New Roman" w:cs="Times New Roman"/>
          <w:lang w:val="es-ES_tradnl"/>
        </w:rPr>
        <w:t xml:space="preserve">Ranking de Bancos. En: </w:t>
      </w:r>
      <w:r w:rsidR="000120F6" w:rsidRPr="006A78F0">
        <w:rPr>
          <w:rFonts w:ascii="Times New Roman" w:hAnsi="Times New Roman" w:cs="Times New Roman"/>
          <w:i/>
          <w:lang w:val="es-ES_tradnl"/>
        </w:rPr>
        <w:t>Bancar</w:t>
      </w:r>
      <w:r w:rsidR="000120F6" w:rsidRPr="006A78F0">
        <w:rPr>
          <w:rFonts w:ascii="Times New Roman" w:hAnsi="Times New Roman" w:cs="Times New Roman"/>
          <w:lang w:val="es-ES_tradnl"/>
        </w:rPr>
        <w:t xml:space="preserve">, N° 2, </w:t>
      </w:r>
      <w:r>
        <w:rPr>
          <w:rFonts w:ascii="Times New Roman" w:hAnsi="Times New Roman" w:cs="Times New Roman"/>
          <w:lang w:val="es-ES_tradnl"/>
        </w:rPr>
        <w:t>1973.</w:t>
      </w:r>
    </w:p>
    <w:p w14:paraId="6B0A6760" w14:textId="77777777" w:rsidR="000120F6" w:rsidRPr="00FB0B11" w:rsidRDefault="000120F6" w:rsidP="001D414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1F366148" w14:textId="77777777" w:rsidR="009E26ED" w:rsidRDefault="009E26ED" w:rsidP="001D414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23145BC2" w14:textId="1F732DC2" w:rsidR="00B133A5" w:rsidRPr="0038451A" w:rsidRDefault="00EB130C" w:rsidP="00E02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03CE" w:rsidRPr="00384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10F70B" w14:textId="77777777" w:rsidR="004814FE" w:rsidRPr="00FB0B11" w:rsidRDefault="00B133A5" w:rsidP="00E02F7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s-ES"/>
        </w:rPr>
      </w:pPr>
      <w:r w:rsidRPr="0038451A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4814FE" w:rsidRPr="00FB0B11" w:rsidSect="00B8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9C554" w14:textId="77777777" w:rsidR="009D2A4D" w:rsidRDefault="009D2A4D" w:rsidP="00267D8D">
      <w:pPr>
        <w:spacing w:after="0" w:line="240" w:lineRule="auto"/>
      </w:pPr>
      <w:r>
        <w:separator/>
      </w:r>
    </w:p>
  </w:endnote>
  <w:endnote w:type="continuationSeparator" w:id="0">
    <w:p w14:paraId="28331C48" w14:textId="77777777" w:rsidR="009D2A4D" w:rsidRDefault="009D2A4D" w:rsidP="0026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EB6FC" w14:textId="77777777" w:rsidR="009D2A4D" w:rsidRDefault="009D2A4D" w:rsidP="00267D8D">
      <w:pPr>
        <w:spacing w:after="0" w:line="240" w:lineRule="auto"/>
      </w:pPr>
      <w:r>
        <w:separator/>
      </w:r>
    </w:p>
  </w:footnote>
  <w:footnote w:type="continuationSeparator" w:id="0">
    <w:p w14:paraId="07207878" w14:textId="77777777" w:rsidR="009D2A4D" w:rsidRDefault="009D2A4D" w:rsidP="00267D8D">
      <w:pPr>
        <w:spacing w:after="0" w:line="240" w:lineRule="auto"/>
      </w:pPr>
      <w:r>
        <w:continuationSeparator/>
      </w:r>
    </w:p>
  </w:footnote>
  <w:footnote w:id="1">
    <w:p w14:paraId="0AA7868A" w14:textId="5752BA79" w:rsidR="00652CC6" w:rsidRPr="00FB0B11" w:rsidRDefault="00652CC6" w:rsidP="008D54BC">
      <w:pPr>
        <w:pStyle w:val="Notedebasdepage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D54BC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FB0B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94FE7">
        <w:rPr>
          <w:rFonts w:ascii="Times New Roman" w:hAnsi="Times New Roman" w:cs="Times New Roman"/>
          <w:sz w:val="20"/>
          <w:szCs w:val="20"/>
          <w:lang w:val="en-US"/>
        </w:rPr>
        <w:t xml:space="preserve">Corporations or </w:t>
      </w:r>
      <w:proofErr w:type="spellStart"/>
      <w:r w:rsidRPr="00094FE7">
        <w:rPr>
          <w:rFonts w:ascii="Times New Roman" w:hAnsi="Times New Roman" w:cs="Times New Roman"/>
          <w:sz w:val="20"/>
          <w:szCs w:val="20"/>
          <w:lang w:val="en-US"/>
        </w:rPr>
        <w:t>Sociedades</w:t>
      </w:r>
      <w:proofErr w:type="spellEnd"/>
      <w:r w:rsidRPr="00094F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4FE7">
        <w:rPr>
          <w:rFonts w:ascii="Times New Roman" w:hAnsi="Times New Roman" w:cs="Times New Roman"/>
          <w:sz w:val="20"/>
          <w:szCs w:val="20"/>
          <w:lang w:val="en-US"/>
        </w:rPr>
        <w:t>Anónimas</w:t>
      </w:r>
      <w:proofErr w:type="spellEnd"/>
      <w:r w:rsidRPr="00094F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1067E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Pr="00094FE7">
        <w:rPr>
          <w:rFonts w:ascii="Times New Roman" w:hAnsi="Times New Roman" w:cs="Times New Roman"/>
          <w:sz w:val="20"/>
          <w:szCs w:val="20"/>
          <w:lang w:val="en-US"/>
        </w:rPr>
        <w:t xml:space="preserve"> the corporate type most widely used by the business community during the entire twentieth century. They can be public or closely held. A board of directors manages them.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2F1"/>
    <w:multiLevelType w:val="hybridMultilevel"/>
    <w:tmpl w:val="A4B085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22AAE"/>
    <w:multiLevelType w:val="hybridMultilevel"/>
    <w:tmpl w:val="1FE63174"/>
    <w:lvl w:ilvl="0" w:tplc="6D18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FF2"/>
    <w:multiLevelType w:val="hybridMultilevel"/>
    <w:tmpl w:val="8214B4AE"/>
    <w:lvl w:ilvl="0" w:tplc="6D18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B1"/>
    <w:rsid w:val="000120F6"/>
    <w:rsid w:val="0003628F"/>
    <w:rsid w:val="00054F2F"/>
    <w:rsid w:val="0006087E"/>
    <w:rsid w:val="00066AB7"/>
    <w:rsid w:val="0009016F"/>
    <w:rsid w:val="00094FE7"/>
    <w:rsid w:val="000B2075"/>
    <w:rsid w:val="000D4970"/>
    <w:rsid w:val="000E33A9"/>
    <w:rsid w:val="000F0E0E"/>
    <w:rsid w:val="00112486"/>
    <w:rsid w:val="001231D0"/>
    <w:rsid w:val="00145D58"/>
    <w:rsid w:val="00165F6F"/>
    <w:rsid w:val="00166F85"/>
    <w:rsid w:val="0019010E"/>
    <w:rsid w:val="001A4CC8"/>
    <w:rsid w:val="001D01AD"/>
    <w:rsid w:val="001D4142"/>
    <w:rsid w:val="00200EEC"/>
    <w:rsid w:val="002323C7"/>
    <w:rsid w:val="00242406"/>
    <w:rsid w:val="00251BF3"/>
    <w:rsid w:val="002544B9"/>
    <w:rsid w:val="00267D8D"/>
    <w:rsid w:val="002D6B89"/>
    <w:rsid w:val="002E1A2C"/>
    <w:rsid w:val="0031067E"/>
    <w:rsid w:val="003212E0"/>
    <w:rsid w:val="00321E26"/>
    <w:rsid w:val="00364A92"/>
    <w:rsid w:val="00373584"/>
    <w:rsid w:val="0038451A"/>
    <w:rsid w:val="00384B70"/>
    <w:rsid w:val="003B36EE"/>
    <w:rsid w:val="003B741D"/>
    <w:rsid w:val="003C4D84"/>
    <w:rsid w:val="003D40AD"/>
    <w:rsid w:val="003F34F5"/>
    <w:rsid w:val="00434AD8"/>
    <w:rsid w:val="004627B2"/>
    <w:rsid w:val="004678E6"/>
    <w:rsid w:val="004814FE"/>
    <w:rsid w:val="00492A7C"/>
    <w:rsid w:val="004930C6"/>
    <w:rsid w:val="00497673"/>
    <w:rsid w:val="004D0D8C"/>
    <w:rsid w:val="004F41EE"/>
    <w:rsid w:val="00516AE0"/>
    <w:rsid w:val="00516DF7"/>
    <w:rsid w:val="00526377"/>
    <w:rsid w:val="00564452"/>
    <w:rsid w:val="00574408"/>
    <w:rsid w:val="005A534E"/>
    <w:rsid w:val="005A70B8"/>
    <w:rsid w:val="005D0654"/>
    <w:rsid w:val="005F08F6"/>
    <w:rsid w:val="005F7B4D"/>
    <w:rsid w:val="00617DD7"/>
    <w:rsid w:val="00646400"/>
    <w:rsid w:val="00652CC6"/>
    <w:rsid w:val="00670F0D"/>
    <w:rsid w:val="00682202"/>
    <w:rsid w:val="00682D30"/>
    <w:rsid w:val="00683E2B"/>
    <w:rsid w:val="00697D51"/>
    <w:rsid w:val="006B3F42"/>
    <w:rsid w:val="006D10B1"/>
    <w:rsid w:val="006D64E9"/>
    <w:rsid w:val="006E631C"/>
    <w:rsid w:val="00700D95"/>
    <w:rsid w:val="007071A6"/>
    <w:rsid w:val="007213C3"/>
    <w:rsid w:val="00721D87"/>
    <w:rsid w:val="007316F6"/>
    <w:rsid w:val="00751B8E"/>
    <w:rsid w:val="007651A5"/>
    <w:rsid w:val="00771040"/>
    <w:rsid w:val="007A2E55"/>
    <w:rsid w:val="007D3C6E"/>
    <w:rsid w:val="007F0C8A"/>
    <w:rsid w:val="0080112B"/>
    <w:rsid w:val="00803542"/>
    <w:rsid w:val="00860E05"/>
    <w:rsid w:val="00871602"/>
    <w:rsid w:val="008A1D64"/>
    <w:rsid w:val="008D1976"/>
    <w:rsid w:val="008D54BC"/>
    <w:rsid w:val="008E1E9D"/>
    <w:rsid w:val="008F0C3B"/>
    <w:rsid w:val="00911F57"/>
    <w:rsid w:val="00936412"/>
    <w:rsid w:val="0096071C"/>
    <w:rsid w:val="0096322C"/>
    <w:rsid w:val="00965378"/>
    <w:rsid w:val="00983117"/>
    <w:rsid w:val="009834B5"/>
    <w:rsid w:val="00992DE3"/>
    <w:rsid w:val="009A4933"/>
    <w:rsid w:val="009B2C46"/>
    <w:rsid w:val="009C162C"/>
    <w:rsid w:val="009C5FE7"/>
    <w:rsid w:val="009D01FB"/>
    <w:rsid w:val="009D2A4D"/>
    <w:rsid w:val="009E051F"/>
    <w:rsid w:val="009E26ED"/>
    <w:rsid w:val="009E273F"/>
    <w:rsid w:val="009F07F2"/>
    <w:rsid w:val="009F4BD8"/>
    <w:rsid w:val="009F743E"/>
    <w:rsid w:val="00A101CE"/>
    <w:rsid w:val="00A22CC0"/>
    <w:rsid w:val="00A34ACA"/>
    <w:rsid w:val="00A6289E"/>
    <w:rsid w:val="00A64E70"/>
    <w:rsid w:val="00A91FE9"/>
    <w:rsid w:val="00A93D7F"/>
    <w:rsid w:val="00A94B49"/>
    <w:rsid w:val="00A96A07"/>
    <w:rsid w:val="00AB05C0"/>
    <w:rsid w:val="00AD1EDF"/>
    <w:rsid w:val="00AD25A1"/>
    <w:rsid w:val="00AE13C7"/>
    <w:rsid w:val="00B032A9"/>
    <w:rsid w:val="00B078DE"/>
    <w:rsid w:val="00B106B7"/>
    <w:rsid w:val="00B133A5"/>
    <w:rsid w:val="00B21602"/>
    <w:rsid w:val="00B35502"/>
    <w:rsid w:val="00B37093"/>
    <w:rsid w:val="00B64873"/>
    <w:rsid w:val="00B718AF"/>
    <w:rsid w:val="00B803CE"/>
    <w:rsid w:val="00B8509A"/>
    <w:rsid w:val="00B865D5"/>
    <w:rsid w:val="00BA49E2"/>
    <w:rsid w:val="00BA5F35"/>
    <w:rsid w:val="00BA74AF"/>
    <w:rsid w:val="00BF4588"/>
    <w:rsid w:val="00BF5682"/>
    <w:rsid w:val="00C05264"/>
    <w:rsid w:val="00CD0D27"/>
    <w:rsid w:val="00CE1264"/>
    <w:rsid w:val="00CF21EE"/>
    <w:rsid w:val="00CF7DC7"/>
    <w:rsid w:val="00D06B1E"/>
    <w:rsid w:val="00D33482"/>
    <w:rsid w:val="00D749F2"/>
    <w:rsid w:val="00D74EE5"/>
    <w:rsid w:val="00D82F2E"/>
    <w:rsid w:val="00DA7470"/>
    <w:rsid w:val="00DD3B48"/>
    <w:rsid w:val="00DF277E"/>
    <w:rsid w:val="00E00B4E"/>
    <w:rsid w:val="00E02F7A"/>
    <w:rsid w:val="00E1458B"/>
    <w:rsid w:val="00E34AE7"/>
    <w:rsid w:val="00E3714B"/>
    <w:rsid w:val="00E827A3"/>
    <w:rsid w:val="00E86200"/>
    <w:rsid w:val="00E86FE9"/>
    <w:rsid w:val="00E94643"/>
    <w:rsid w:val="00EA1E2B"/>
    <w:rsid w:val="00EB130C"/>
    <w:rsid w:val="00EB3893"/>
    <w:rsid w:val="00EC1834"/>
    <w:rsid w:val="00EE2D50"/>
    <w:rsid w:val="00EE5A6D"/>
    <w:rsid w:val="00EF7F62"/>
    <w:rsid w:val="00F158D7"/>
    <w:rsid w:val="00F2466F"/>
    <w:rsid w:val="00F43DCB"/>
    <w:rsid w:val="00F445C5"/>
    <w:rsid w:val="00F46BE2"/>
    <w:rsid w:val="00F56A2B"/>
    <w:rsid w:val="00F605B3"/>
    <w:rsid w:val="00F7415F"/>
    <w:rsid w:val="00FA427C"/>
    <w:rsid w:val="00FB0B11"/>
    <w:rsid w:val="00FB5FDA"/>
    <w:rsid w:val="00FD1126"/>
    <w:rsid w:val="00FF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17D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B1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DA74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74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7470"/>
    <w:rPr>
      <w:rFonts w:eastAsiaTheme="minorHAnsi"/>
      <w:sz w:val="20"/>
      <w:szCs w:val="20"/>
      <w:lang w:val="es-C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74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7470"/>
    <w:rPr>
      <w:rFonts w:eastAsiaTheme="minorHAnsi"/>
      <w:b/>
      <w:bCs/>
      <w:sz w:val="20"/>
      <w:szCs w:val="20"/>
      <w:lang w:val="es-CL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470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hps">
    <w:name w:val="hps"/>
    <w:basedOn w:val="Policepardfaut"/>
    <w:rsid w:val="00B865D5"/>
  </w:style>
  <w:style w:type="character" w:customStyle="1" w:styleId="st">
    <w:name w:val="st"/>
    <w:basedOn w:val="Policepardfaut"/>
    <w:rsid w:val="00AE13C7"/>
  </w:style>
  <w:style w:type="character" w:customStyle="1" w:styleId="il">
    <w:name w:val="il"/>
    <w:basedOn w:val="Policepardfaut"/>
    <w:rsid w:val="0080112B"/>
  </w:style>
  <w:style w:type="character" w:styleId="Lienhypertexte">
    <w:name w:val="Hyperlink"/>
    <w:basedOn w:val="Policepardfaut"/>
    <w:uiPriority w:val="99"/>
    <w:unhideWhenUsed/>
    <w:rsid w:val="009F07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7D8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67D8D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67D8D"/>
    <w:rPr>
      <w:rFonts w:eastAsiaTheme="minorHAnsi"/>
      <w:lang w:val="es-CL" w:eastAsia="en-US"/>
    </w:rPr>
  </w:style>
  <w:style w:type="character" w:styleId="Marquenotebasdepage">
    <w:name w:val="footnote reference"/>
    <w:basedOn w:val="Policepardfaut"/>
    <w:uiPriority w:val="99"/>
    <w:unhideWhenUsed/>
    <w:rsid w:val="00267D8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200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0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B1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DA74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74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7470"/>
    <w:rPr>
      <w:rFonts w:eastAsiaTheme="minorHAnsi"/>
      <w:sz w:val="20"/>
      <w:szCs w:val="20"/>
      <w:lang w:val="es-C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74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7470"/>
    <w:rPr>
      <w:rFonts w:eastAsiaTheme="minorHAnsi"/>
      <w:b/>
      <w:bCs/>
      <w:sz w:val="20"/>
      <w:szCs w:val="20"/>
      <w:lang w:val="es-CL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470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hps">
    <w:name w:val="hps"/>
    <w:basedOn w:val="Policepardfaut"/>
    <w:rsid w:val="00B865D5"/>
  </w:style>
  <w:style w:type="character" w:customStyle="1" w:styleId="st">
    <w:name w:val="st"/>
    <w:basedOn w:val="Policepardfaut"/>
    <w:rsid w:val="00AE13C7"/>
  </w:style>
  <w:style w:type="character" w:customStyle="1" w:styleId="il">
    <w:name w:val="il"/>
    <w:basedOn w:val="Policepardfaut"/>
    <w:rsid w:val="0080112B"/>
  </w:style>
  <w:style w:type="character" w:styleId="Lienhypertexte">
    <w:name w:val="Hyperlink"/>
    <w:basedOn w:val="Policepardfaut"/>
    <w:uiPriority w:val="99"/>
    <w:unhideWhenUsed/>
    <w:rsid w:val="009F07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67D8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67D8D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67D8D"/>
    <w:rPr>
      <w:rFonts w:eastAsiaTheme="minorHAnsi"/>
      <w:lang w:val="es-CL" w:eastAsia="en-US"/>
    </w:rPr>
  </w:style>
  <w:style w:type="character" w:styleId="Marquenotebasdepage">
    <w:name w:val="footnote reference"/>
    <w:basedOn w:val="Policepardfaut"/>
    <w:uiPriority w:val="99"/>
    <w:unhideWhenUsed/>
    <w:rsid w:val="00267D8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200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0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8E29-A294-8943-807A-D9DD27D2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1341</Words>
  <Characters>7380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Lluch</dc:creator>
  <cp:lastModifiedBy>Nicole Morand Aghroum</cp:lastModifiedBy>
  <cp:revision>4</cp:revision>
  <cp:lastPrinted>2013-01-28T14:29:00Z</cp:lastPrinted>
  <dcterms:created xsi:type="dcterms:W3CDTF">2013-01-31T17:21:00Z</dcterms:created>
  <dcterms:modified xsi:type="dcterms:W3CDTF">2015-04-07T12:37:00Z</dcterms:modified>
</cp:coreProperties>
</file>